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98829ddefa14a.htm"/>
      <w:bookmarkStart w:id="1" w:name="ksd798829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14a-12 </w:t>
            </w:r>
          </w:p>
        </w:tc>
      </w:tr>
    </w:tbl>
    <w:p>
      <w:pPr>
        <w:pStyle w:val="TextBody"/>
        <w:bidi w:val="0"/>
        <w:spacing w:before="360" w:after="0"/>
        <w:jc w:val="center"/>
        <w:rPr>
          <w:rFonts w:ascii="Times New Roman" w:hAnsi="Times New Roman"/>
          <w:b/>
          <w:sz w:val="44"/>
        </w:rPr>
      </w:pPr>
      <w:r>
        <w:rPr>
          <w:rFonts w:ascii="Times New Roman" w:hAnsi="Times New Roman"/>
          <w:b/>
          <w:sz w:val="44"/>
        </w:rPr>
        <w:t xml:space="preserve">Aveanna Healthcare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0" w:after="0"/>
        <w:jc w:val="left"/>
        <w:rPr/>
      </w:pPr>
      <w:r>
        <w:rPr/>
        <w:t>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Persons(s) Filing Proxy Statement, if other than the Registrant) </w:t>
      </w:r>
    </w:p>
    <w:p>
      <w:pPr>
        <w:pStyle w:val="TextBody"/>
        <w:bidi w:val="0"/>
        <w:spacing w:before="36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952875" cy="9634220"/>
                <wp:effectExtent l="0" t="0" r="0" b="0"/>
                <wp:wrapSquare wrapText="right"/>
                <wp:docPr id="1" name="Frame1"/>
                <a:graphic xmlns:a="http://schemas.openxmlformats.org/drawingml/2006/main">
                  <a:graphicData uri="http://schemas.microsoft.com/office/word/2010/wordprocessingShape">
                    <wps:wsp>
                      <wps:cNvSpPr txBox="1"/>
                      <wps:spPr>
                        <a:xfrm>
                          <a:off x="0" y="0"/>
                          <a:ext cx="3952875" cy="9634220"/>
                        </a:xfrm>
                        <a:prstGeom prst="rect"/>
                        <a:solidFill>
                          <a:srgbClr val="FFFFFF"/>
                        </a:solidFill>
                      </wps:spPr>
                      <wps:txbx>
                        <w:txbxContent>
                          <w:p>
                            <w:pPr>
                              <w:pStyle w:val="TextBody"/>
                              <w:bidi w:val="0"/>
                              <w:spacing w:before="0" w:after="0"/>
                              <w:jc w:val="left"/>
                              <w:rPr/>
                            </w:pPr>
                            <w:r>
                              <w:rPr/>
                              <w:drawing>
                                <wp:inline distT="0" distB="0" distL="0" distR="0">
                                  <wp:extent cx="857250" cy="4762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857250" cy="476250"/>
                                          </a:xfrm>
                                          <a:prstGeom prst="rect">
                                            <a:avLst/>
                                          </a:prstGeom>
                                        </pic:spPr>
                                      </pic:pic>
                                    </a:graphicData>
                                  </a:graphic>
                                </wp:inline>
                              </w:drawing>
                            </w:r>
                            <w:r>
                              <w:rPr/>
                              <w:t xml:space="preserve"> </w:t>
                            </w:r>
                          </w:p>
                          <w:p>
                            <w:pPr>
                              <w:pStyle w:val="TextBody"/>
                              <w:bidi w:val="0"/>
                              <w:spacing w:before="80" w:after="0"/>
                              <w:jc w:val="left"/>
                              <w:rPr>
                                <w:rFonts w:ascii="Arial" w:hAnsi="Arial"/>
                                <w:sz w:val="12"/>
                              </w:rPr>
                            </w:pPr>
                            <w:r>
                              <w:rPr>
                                <w:rFonts w:ascii="Arial" w:hAnsi="Arial"/>
                                <w:sz w:val="12"/>
                              </w:rPr>
                              <w:t xml:space="preserve">PROXY TABULATOR: P.O. BOX 8016, CARY, NC 27512-9903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3124200" cy="8858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3124200" cy="885825"/>
                                          </a:xfrm>
                                          <a:prstGeom prst="rect">
                                            <a:avLst/>
                                          </a:prstGeom>
                                        </pic:spPr>
                                      </pic:pic>
                                    </a:graphicData>
                                  </a:graphic>
                                </wp:inline>
                              </w:drawing>
                            </w:r>
                            <w:r>
                              <w:rPr/>
                              <w:t xml:space="preserve"> </w:t>
                            </w:r>
                          </w:p>
                          <w:p>
                            <w:pPr>
                              <w:pStyle w:val="TextBody"/>
                              <w:bidi w:val="0"/>
                              <w:spacing w:before="3600" w:after="0"/>
                              <w:jc w:val="left"/>
                              <w:rPr>
                                <w:rFonts w:ascii="Arial" w:hAnsi="Arial"/>
                                <w:b/>
                                <w:sz w:val="28"/>
                              </w:rPr>
                            </w:pPr>
                            <w:r>
                              <w:rPr>
                                <w:rFonts w:ascii="Arial" w:hAnsi="Arial"/>
                                <w:b/>
                                <w:sz w:val="28"/>
                              </w:rPr>
                              <w:t xml:space="preserve">Aveanna Healthcare Holdings Inc. </w:t>
                            </w:r>
                          </w:p>
                          <w:p>
                            <w:pPr>
                              <w:pStyle w:val="TextBody"/>
                              <w:bidi w:val="0"/>
                              <w:spacing w:before="80" w:after="0"/>
                              <w:jc w:val="left"/>
                              <w:rPr>
                                <w:rFonts w:ascii="Arial" w:hAnsi="Arial"/>
                                <w:b/>
                                <w:color w:val="0077BC"/>
                                <w:sz w:val="28"/>
                              </w:rPr>
                            </w:pPr>
                            <w:r>
                              <w:rPr>
                                <w:rFonts w:ascii="Arial" w:hAnsi="Arial"/>
                                <w:b/>
                                <w:color w:val="0077BC"/>
                                <w:sz w:val="28"/>
                              </w:rPr>
                              <w:t xml:space="preserve">Annual Meeting of Stockholders </w:t>
                            </w:r>
                          </w:p>
                          <w:p>
                            <w:pPr>
                              <w:pStyle w:val="TextBody"/>
                              <w:bidi w:val="0"/>
                              <w:spacing w:before="120" w:after="0"/>
                              <w:jc w:val="left"/>
                              <w:rPr>
                                <w:rFonts w:ascii="Arial" w:hAnsi="Arial"/>
                                <w:sz w:val="16"/>
                              </w:rPr>
                            </w:pPr>
                            <w:r>
                              <w:rPr>
                                <w:rFonts w:ascii="Arial" w:hAnsi="Arial"/>
                                <w:sz w:val="16"/>
                              </w:rPr>
                              <w:t xml:space="preserve">Friday, May 29, 2026 9:30 AM, Eastern Time </w:t>
                            </w:r>
                          </w:p>
                          <w:p>
                            <w:pPr>
                              <w:pStyle w:val="TextBody"/>
                              <w:bidi w:val="0"/>
                              <w:spacing w:before="120" w:after="0"/>
                              <w:jc w:val="left"/>
                              <w:rPr>
                                <w:rFonts w:ascii="Arial" w:hAnsi="Arial"/>
                                <w:sz w:val="16"/>
                              </w:rPr>
                            </w:pPr>
                            <w:r>
                              <w:rPr>
                                <w:rFonts w:ascii="Arial" w:hAnsi="Arial"/>
                                <w:sz w:val="16"/>
                              </w:rPr>
                              <w:t xml:space="preserve">400 Interstate North Parkway, Suite 1600, Atlanta, GA. 30339 </w:t>
                            </w:r>
                          </w:p>
                          <w:p>
                            <w:pPr>
                              <w:pStyle w:val="TextBody"/>
                              <w:bidi w:val="0"/>
                              <w:spacing w:before="0" w:after="0"/>
                              <w:jc w:val="left"/>
                              <w:rPr/>
                            </w:pPr>
                            <w:r>
                              <w:rPr/>
                              <w:t> </w:t>
                            </w:r>
                          </w:p>
                          <w:p>
                            <w:pPr>
                              <w:pStyle w:val="TextBody"/>
                              <w:bidi w:val="0"/>
                              <w:spacing w:lineRule="atLeast" w:line="142" w:before="0" w:after="40"/>
                              <w:jc w:val="left"/>
                              <w:rPr>
                                <w:bdr w:val="single" w:sz="16" w:space="1" w:color="0077BC"/>
                              </w:rPr>
                            </w:pPr>
                            <w:r>
                              <w:rPr>
                                <w:bdr w:val="single" w:sz="16" w:space="1" w:color="0077BC"/>
                              </w:rPr>
                              <w:t> </w:t>
                            </w:r>
                          </w:p>
                          <w:p>
                            <w:pPr>
                              <w:pStyle w:val="TextBody"/>
                              <w:bidi w:val="0"/>
                              <w:spacing w:before="240" w:after="0"/>
                              <w:jc w:val="left"/>
                              <w:rPr>
                                <w:rFonts w:ascii="Arial" w:hAnsi="Arial"/>
                                <w:b/>
                                <w:sz w:val="20"/>
                              </w:rPr>
                            </w:pPr>
                            <w:r>
                              <w:rPr>
                                <w:rFonts w:ascii="Arial" w:hAnsi="Arial"/>
                                <w:b/>
                                <w:sz w:val="20"/>
                              </w:rPr>
                              <w:t xml:space="preserve">For a convenient way to view proxy materials, VOTE, and obtain directions to attend the meeting go to www.proxydocs.com/AVAH </w:t>
                            </w:r>
                          </w:p>
                          <w:p>
                            <w:pPr>
                              <w:pStyle w:val="TextBody"/>
                              <w:bidi w:val="0"/>
                              <w:spacing w:before="240" w:after="0"/>
                              <w:jc w:val="left"/>
                              <w:rPr>
                                <w:rFonts w:ascii="Arial" w:hAnsi="Arial"/>
                                <w:b/>
                                <w:sz w:val="20"/>
                              </w:rPr>
                            </w:pPr>
                            <w:r>
                              <w:rPr>
                                <w:rFonts w:ascii="Arial" w:hAnsi="Arial"/>
                                <w:b/>
                                <w:sz w:val="20"/>
                              </w:rPr>
                              <w:t xml:space="preserve">To vote your proxy while visiting this site, you will need the 12 digit control number in the box below. </w:t>
                            </w:r>
                          </w:p>
                          <w:p>
                            <w:pPr>
                              <w:pStyle w:val="TextBody"/>
                              <w:bidi w:val="0"/>
                              <w:spacing w:before="240" w:after="0"/>
                              <w:jc w:val="left"/>
                              <w:rPr>
                                <w:rFonts w:ascii="Arial" w:hAnsi="Arial"/>
                                <w:sz w:val="16"/>
                              </w:rPr>
                            </w:pPr>
                            <w:r>
                              <w:rPr>
                                <w:rFonts w:ascii="Arial" w:hAnsi="Arial"/>
                                <w:sz w:val="16"/>
                              </w:rPr>
                              <w:t xml:space="preserve">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w:t>
                            </w:r>
                          </w:p>
                          <w:p>
                            <w:pPr>
                              <w:pStyle w:val="TextBody"/>
                              <w:bidi w:val="0"/>
                              <w:spacing w:before="240" w:after="0"/>
                              <w:jc w:val="left"/>
                              <w:rPr>
                                <w:rFonts w:ascii="Arial" w:hAnsi="Arial"/>
                                <w:sz w:val="16"/>
                              </w:rPr>
                            </w:pPr>
                            <w:r>
                              <w:rPr>
                                <w:rFonts w:ascii="Arial" w:hAnsi="Arial"/>
                                <w:sz w:val="16"/>
                              </w:rPr>
                              <w:t xml:space="preserve">Under United States Securities and Exchange Commission rules, proxy materials do not have to be delivered in paper. Proxy materials can be distributed by making them available on the Internet. </w:t>
                            </w:r>
                          </w:p>
                          <w:p>
                            <w:pPr>
                              <w:pStyle w:val="TextBody"/>
                              <w:bidi w:val="0"/>
                              <w:spacing w:before="240" w:after="0"/>
                              <w:jc w:val="left"/>
                              <w:rPr>
                                <w:rFonts w:ascii="Arial" w:hAnsi="Arial"/>
                                <w:sz w:val="16"/>
                              </w:rPr>
                            </w:pPr>
                            <w:r>
                              <w:rPr>
                                <w:rFonts w:ascii="Arial" w:hAnsi="Arial"/>
                                <w:sz w:val="16"/>
                              </w:rPr>
                              <w:t xml:space="preserve">If you want to receive a paper or e-mail copy of the proxy materials, including the Proxy Statement, our 2025 Annual Report and proxy card, you must request one. There is no charge to you for requesting a copy. In order to receive a paper package in time for this year’s meeting, you must make this request on or before May 19, 2026. Please check the meeting materials for any special requirements for meeting attendance. </w:t>
                            </w:r>
                          </w:p>
                          <w:p>
                            <w:pPr>
                              <w:pStyle w:val="TextBody"/>
                              <w:bidi w:val="0"/>
                              <w:spacing w:before="1520" w:after="0"/>
                              <w:jc w:val="center"/>
                              <w:rPr>
                                <w:rFonts w:ascii="Arial" w:hAnsi="Arial"/>
                                <w:b/>
                                <w:sz w:val="18"/>
                              </w:rPr>
                            </w:pPr>
                            <w:r>
                              <w:rPr>
                                <w:rFonts w:ascii="Arial" w:hAnsi="Arial"/>
                                <w:b/>
                                <w:sz w:val="18"/>
                              </w:rPr>
                              <w:t xml:space="preserve">SEE REVERSE FOR FULL AGENDA </w:t>
                            </w:r>
                          </w:p>
                        </w:txbxContent>
                      </wps:txbx>
                      <wps:bodyPr anchor="t" lIns="0" tIns="0" rIns="0" bIns="0">
                        <a:noAutofit/>
                      </wps:bodyPr>
                    </wps:wsp>
                  </a:graphicData>
                </a:graphic>
                <wp14:sizeRelH relativeFrom="margin">
                  <wp14:pctWidth>61000</wp14:pctWidth>
                </wp14:sizeRelH>
              </wp:anchor>
            </w:drawing>
          </mc:Choice>
          <mc:Fallback>
            <w:pict>
              <v:rect style="position:absolute;rotation:-0;width:311.25pt;height:758.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drawing>
                          <wp:inline distT="0" distB="0" distL="0" distR="0">
                            <wp:extent cx="857250" cy="476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4"/>
                                    <a:stretch>
                                      <a:fillRect/>
                                    </a:stretch>
                                  </pic:blipFill>
                                  <pic:spPr bwMode="auto">
                                    <a:xfrm>
                                      <a:off x="0" y="0"/>
                                      <a:ext cx="857250" cy="476250"/>
                                    </a:xfrm>
                                    <a:prstGeom prst="rect">
                                      <a:avLst/>
                                    </a:prstGeom>
                                  </pic:spPr>
                                </pic:pic>
                              </a:graphicData>
                            </a:graphic>
                          </wp:inline>
                        </w:drawing>
                      </w:r>
                      <w:r>
                        <w:rPr/>
                        <w:t xml:space="preserve"> </w:t>
                      </w:r>
                    </w:p>
                    <w:p>
                      <w:pPr>
                        <w:pStyle w:val="TextBody"/>
                        <w:bidi w:val="0"/>
                        <w:spacing w:before="80" w:after="0"/>
                        <w:jc w:val="left"/>
                        <w:rPr>
                          <w:rFonts w:ascii="Arial" w:hAnsi="Arial"/>
                          <w:sz w:val="12"/>
                        </w:rPr>
                      </w:pPr>
                      <w:r>
                        <w:rPr>
                          <w:rFonts w:ascii="Arial" w:hAnsi="Arial"/>
                          <w:sz w:val="12"/>
                        </w:rPr>
                        <w:t xml:space="preserve">PROXY TABULATOR: P.O. BOX 8016, CARY, NC 27512-9903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3124200" cy="8858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124200" cy="885825"/>
                                    </a:xfrm>
                                    <a:prstGeom prst="rect">
                                      <a:avLst/>
                                    </a:prstGeom>
                                  </pic:spPr>
                                </pic:pic>
                              </a:graphicData>
                            </a:graphic>
                          </wp:inline>
                        </w:drawing>
                      </w:r>
                      <w:r>
                        <w:rPr/>
                        <w:t xml:space="preserve"> </w:t>
                      </w:r>
                    </w:p>
                    <w:p>
                      <w:pPr>
                        <w:pStyle w:val="TextBody"/>
                        <w:bidi w:val="0"/>
                        <w:spacing w:before="3600" w:after="0"/>
                        <w:jc w:val="left"/>
                        <w:rPr>
                          <w:rFonts w:ascii="Arial" w:hAnsi="Arial"/>
                          <w:b/>
                          <w:sz w:val="28"/>
                        </w:rPr>
                      </w:pPr>
                      <w:r>
                        <w:rPr>
                          <w:rFonts w:ascii="Arial" w:hAnsi="Arial"/>
                          <w:b/>
                          <w:sz w:val="28"/>
                        </w:rPr>
                        <w:t xml:space="preserve">Aveanna Healthcare Holdings Inc. </w:t>
                      </w:r>
                    </w:p>
                    <w:p>
                      <w:pPr>
                        <w:pStyle w:val="TextBody"/>
                        <w:bidi w:val="0"/>
                        <w:spacing w:before="80" w:after="0"/>
                        <w:jc w:val="left"/>
                        <w:rPr>
                          <w:rFonts w:ascii="Arial" w:hAnsi="Arial"/>
                          <w:b/>
                          <w:color w:val="0077BC"/>
                          <w:sz w:val="28"/>
                        </w:rPr>
                      </w:pPr>
                      <w:r>
                        <w:rPr>
                          <w:rFonts w:ascii="Arial" w:hAnsi="Arial"/>
                          <w:b/>
                          <w:color w:val="0077BC"/>
                          <w:sz w:val="28"/>
                        </w:rPr>
                        <w:t xml:space="preserve">Annual Meeting of Stockholders </w:t>
                      </w:r>
                    </w:p>
                    <w:p>
                      <w:pPr>
                        <w:pStyle w:val="TextBody"/>
                        <w:bidi w:val="0"/>
                        <w:spacing w:before="120" w:after="0"/>
                        <w:jc w:val="left"/>
                        <w:rPr>
                          <w:rFonts w:ascii="Arial" w:hAnsi="Arial"/>
                          <w:sz w:val="16"/>
                        </w:rPr>
                      </w:pPr>
                      <w:r>
                        <w:rPr>
                          <w:rFonts w:ascii="Arial" w:hAnsi="Arial"/>
                          <w:sz w:val="16"/>
                        </w:rPr>
                        <w:t xml:space="preserve">Friday, May 29, 2026 9:30 AM, Eastern Time </w:t>
                      </w:r>
                    </w:p>
                    <w:p>
                      <w:pPr>
                        <w:pStyle w:val="TextBody"/>
                        <w:bidi w:val="0"/>
                        <w:spacing w:before="120" w:after="0"/>
                        <w:jc w:val="left"/>
                        <w:rPr>
                          <w:rFonts w:ascii="Arial" w:hAnsi="Arial"/>
                          <w:sz w:val="16"/>
                        </w:rPr>
                      </w:pPr>
                      <w:r>
                        <w:rPr>
                          <w:rFonts w:ascii="Arial" w:hAnsi="Arial"/>
                          <w:sz w:val="16"/>
                        </w:rPr>
                        <w:t xml:space="preserve">400 Interstate North Parkway, Suite 1600, Atlanta, GA. 30339 </w:t>
                      </w:r>
                    </w:p>
                    <w:p>
                      <w:pPr>
                        <w:pStyle w:val="TextBody"/>
                        <w:bidi w:val="0"/>
                        <w:spacing w:before="0" w:after="0"/>
                        <w:jc w:val="left"/>
                        <w:rPr/>
                      </w:pPr>
                      <w:r>
                        <w:rPr/>
                        <w:t> </w:t>
                      </w:r>
                    </w:p>
                    <w:p>
                      <w:pPr>
                        <w:pStyle w:val="TextBody"/>
                        <w:bidi w:val="0"/>
                        <w:spacing w:lineRule="atLeast" w:line="142" w:before="0" w:after="40"/>
                        <w:jc w:val="left"/>
                        <w:rPr>
                          <w:bdr w:val="single" w:sz="16" w:space="1" w:color="0077BC"/>
                        </w:rPr>
                      </w:pPr>
                      <w:r>
                        <w:rPr>
                          <w:bdr w:val="single" w:sz="16" w:space="1" w:color="0077BC"/>
                        </w:rPr>
                        <w:t> </w:t>
                      </w:r>
                    </w:p>
                    <w:p>
                      <w:pPr>
                        <w:pStyle w:val="TextBody"/>
                        <w:bidi w:val="0"/>
                        <w:spacing w:before="240" w:after="0"/>
                        <w:jc w:val="left"/>
                        <w:rPr>
                          <w:rFonts w:ascii="Arial" w:hAnsi="Arial"/>
                          <w:b/>
                          <w:sz w:val="20"/>
                        </w:rPr>
                      </w:pPr>
                      <w:r>
                        <w:rPr>
                          <w:rFonts w:ascii="Arial" w:hAnsi="Arial"/>
                          <w:b/>
                          <w:sz w:val="20"/>
                        </w:rPr>
                        <w:t xml:space="preserve">For a convenient way to view proxy materials, VOTE, and obtain directions to attend the meeting go to www.proxydocs.com/AVAH </w:t>
                      </w:r>
                    </w:p>
                    <w:p>
                      <w:pPr>
                        <w:pStyle w:val="TextBody"/>
                        <w:bidi w:val="0"/>
                        <w:spacing w:before="240" w:after="0"/>
                        <w:jc w:val="left"/>
                        <w:rPr>
                          <w:rFonts w:ascii="Arial" w:hAnsi="Arial"/>
                          <w:b/>
                          <w:sz w:val="20"/>
                        </w:rPr>
                      </w:pPr>
                      <w:r>
                        <w:rPr>
                          <w:rFonts w:ascii="Arial" w:hAnsi="Arial"/>
                          <w:b/>
                          <w:sz w:val="20"/>
                        </w:rPr>
                        <w:t xml:space="preserve">To vote your proxy while visiting this site, you will need the 12 digit control number in the box below. </w:t>
                      </w:r>
                    </w:p>
                    <w:p>
                      <w:pPr>
                        <w:pStyle w:val="TextBody"/>
                        <w:bidi w:val="0"/>
                        <w:spacing w:before="240" w:after="0"/>
                        <w:jc w:val="left"/>
                        <w:rPr>
                          <w:rFonts w:ascii="Arial" w:hAnsi="Arial"/>
                          <w:sz w:val="16"/>
                        </w:rPr>
                      </w:pPr>
                      <w:r>
                        <w:rPr>
                          <w:rFonts w:ascii="Arial" w:hAnsi="Arial"/>
                          <w:sz w:val="16"/>
                        </w:rPr>
                        <w:t xml:space="preserve">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w:t>
                      </w:r>
                    </w:p>
                    <w:p>
                      <w:pPr>
                        <w:pStyle w:val="TextBody"/>
                        <w:bidi w:val="0"/>
                        <w:spacing w:before="240" w:after="0"/>
                        <w:jc w:val="left"/>
                        <w:rPr>
                          <w:rFonts w:ascii="Arial" w:hAnsi="Arial"/>
                          <w:sz w:val="16"/>
                        </w:rPr>
                      </w:pPr>
                      <w:r>
                        <w:rPr>
                          <w:rFonts w:ascii="Arial" w:hAnsi="Arial"/>
                          <w:sz w:val="16"/>
                        </w:rPr>
                        <w:t xml:space="preserve">Under United States Securities and Exchange Commission rules, proxy materials do not have to be delivered in paper. Proxy materials can be distributed by making them available on the Internet. </w:t>
                      </w:r>
                    </w:p>
                    <w:p>
                      <w:pPr>
                        <w:pStyle w:val="TextBody"/>
                        <w:bidi w:val="0"/>
                        <w:spacing w:before="240" w:after="0"/>
                        <w:jc w:val="left"/>
                        <w:rPr>
                          <w:rFonts w:ascii="Arial" w:hAnsi="Arial"/>
                          <w:sz w:val="16"/>
                        </w:rPr>
                      </w:pPr>
                      <w:r>
                        <w:rPr>
                          <w:rFonts w:ascii="Arial" w:hAnsi="Arial"/>
                          <w:sz w:val="16"/>
                        </w:rPr>
                        <w:t xml:space="preserve">If you want to receive a paper or e-mail copy of the proxy materials, including the Proxy Statement, our 2025 Annual Report and proxy card, you must request one. There is no charge to you for requesting a copy. In order to receive a paper package in time for this year’s meeting, you must make this request on or before May 19, 2026. Please check the meeting materials for any special requirements for meeting attendance. </w:t>
                      </w:r>
                    </w:p>
                    <w:p>
                      <w:pPr>
                        <w:pStyle w:val="TextBody"/>
                        <w:bidi w:val="0"/>
                        <w:spacing w:before="1520" w:after="0"/>
                        <w:jc w:val="center"/>
                        <w:rPr>
                          <w:rFonts w:ascii="Arial" w:hAnsi="Arial"/>
                          <w:b/>
                          <w:sz w:val="18"/>
                        </w:rPr>
                      </w:pPr>
                      <w:r>
                        <w:rPr>
                          <w:rFonts w:ascii="Arial" w:hAnsi="Arial"/>
                          <w:b/>
                          <w:sz w:val="18"/>
                        </w:rPr>
                        <w:t xml:space="preserve">SEE REVERSE FOR FULL AGENDA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332355" cy="9857740"/>
                <wp:effectExtent l="0" t="0" r="0" b="0"/>
                <wp:wrapSquare wrapText="right"/>
                <wp:docPr id="6" name="Frame2"/>
                <a:graphic xmlns:a="http://schemas.openxmlformats.org/drawingml/2006/main">
                  <a:graphicData uri="http://schemas.microsoft.com/office/word/2010/wordprocessingShape">
                    <wps:wsp>
                      <wps:cNvSpPr txBox="1"/>
                      <wps:spPr>
                        <a:xfrm>
                          <a:off x="0" y="0"/>
                          <a:ext cx="2332355" cy="9857740"/>
                        </a:xfrm>
                        <a:prstGeom prst="rect"/>
                        <a:solidFill>
                          <a:srgbClr val="FFFFFF"/>
                        </a:solidFill>
                      </wps:spPr>
                      <wps:txbx>
                        <w:txbxContent>
                          <w:p>
                            <w:pPr>
                              <w:pStyle w:val="TextBody"/>
                              <w:bidi w:val="0"/>
                              <w:spacing w:before="0" w:after="0"/>
                              <w:jc w:val="center"/>
                              <w:rPr/>
                            </w:pPr>
                            <w:r>
                              <w:rPr/>
                              <w:drawing>
                                <wp:inline distT="0" distB="0" distL="0" distR="0">
                                  <wp:extent cx="3257550" cy="26574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6"/>
                                          <a:stretch>
                                            <a:fillRect/>
                                          </a:stretch>
                                        </pic:blipFill>
                                        <pic:spPr bwMode="auto">
                                          <a:xfrm>
                                            <a:off x="0" y="0"/>
                                            <a:ext cx="3257550" cy="2657475"/>
                                          </a:xfrm>
                                          <a:prstGeom prst="rect">
                                            <a:avLst/>
                                          </a:prstGeom>
                                        </pic:spPr>
                                      </pic:pic>
                                    </a:graphicData>
                                  </a:graphic>
                                </wp:inline>
                              </w:drawing>
                            </w:r>
                            <w:r>
                              <w:rPr/>
                              <w:t xml:space="preserve"> </w:t>
                            </w:r>
                          </w:p>
                          <w:p>
                            <w:pPr>
                              <w:pStyle w:val="TextBody"/>
                              <w:bidi w:val="0"/>
                              <w:spacing w:before="0" w:after="0"/>
                              <w:jc w:val="left"/>
                              <w:rPr/>
                            </w:pPr>
                            <w:r>
                              <w:rPr/>
                              <w:drawing>
                                <wp:inline distT="0" distB="0" distL="0" distR="0">
                                  <wp:extent cx="2924175" cy="71342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7"/>
                                          <a:stretch>
                                            <a:fillRect/>
                                          </a:stretch>
                                        </pic:blipFill>
                                        <pic:spPr bwMode="auto">
                                          <a:xfrm>
                                            <a:off x="0" y="0"/>
                                            <a:ext cx="2924175" cy="713422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36000</wp14:pctWidth>
                </wp14:sizeRelH>
              </wp:anchor>
            </w:drawing>
          </mc:Choice>
          <mc:Fallback>
            <w:pict>
              <v:rect style="position:absolute;rotation:-0;width:183.65pt;height:776.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pPr>
                      <w:r>
                        <w:rPr/>
                        <w:drawing>
                          <wp:inline distT="0" distB="0" distL="0" distR="0">
                            <wp:extent cx="3257550" cy="265747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8"/>
                                    <a:stretch>
                                      <a:fillRect/>
                                    </a:stretch>
                                  </pic:blipFill>
                                  <pic:spPr bwMode="auto">
                                    <a:xfrm>
                                      <a:off x="0" y="0"/>
                                      <a:ext cx="3257550" cy="2657475"/>
                                    </a:xfrm>
                                    <a:prstGeom prst="rect">
                                      <a:avLst/>
                                    </a:prstGeom>
                                  </pic:spPr>
                                </pic:pic>
                              </a:graphicData>
                            </a:graphic>
                          </wp:inline>
                        </w:drawing>
                      </w:r>
                      <w:r>
                        <w:rPr/>
                        <w:t xml:space="preserve"> </w:t>
                      </w:r>
                    </w:p>
                    <w:p>
                      <w:pPr>
                        <w:pStyle w:val="TextBody"/>
                        <w:bidi w:val="0"/>
                        <w:spacing w:before="0" w:after="0"/>
                        <w:jc w:val="left"/>
                        <w:rPr/>
                      </w:pPr>
                      <w:r>
                        <w:rPr/>
                        <w:drawing>
                          <wp:inline distT="0" distB="0" distL="0" distR="0">
                            <wp:extent cx="2924175" cy="71342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9"/>
                                    <a:stretch>
                                      <a:fillRect/>
                                    </a:stretch>
                                  </pic:blipFill>
                                  <pic:spPr bwMode="auto">
                                    <a:xfrm>
                                      <a:off x="0" y="0"/>
                                      <a:ext cx="2924175" cy="7134225"/>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240" w:after="0"/>
        <w:jc w:val="right"/>
        <w:rPr>
          <w:rFonts w:ascii="Arial" w:hAnsi="Arial"/>
          <w:sz w:val="16"/>
        </w:rPr>
      </w:pPr>
      <w:r>
        <w:rPr>
          <w:rFonts w:ascii="Arial" w:hAnsi="Arial"/>
          <w:sz w:val="16"/>
        </w:rPr>
        <w:t xml:space="preserve">Copyright © 2026 BetaNXT, Inc. or its affiliates. All Rights Reserved    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24"/>
        <w:gridCol w:w="120"/>
        <w:gridCol w:w="8561"/>
      </w:tblGrid>
      <w:tr>
        <w:trPr/>
        <w:tc>
          <w:tcPr>
            <w:tcW w:w="15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561" w:type="dxa"/>
            <w:tcBorders/>
            <w:vAlign w:val="center"/>
          </w:tcPr>
          <w:p>
            <w:pPr>
              <w:pStyle w:val="TableContents"/>
              <w:bidi w:val="0"/>
              <w:spacing w:before="0" w:after="283"/>
              <w:jc w:val="left"/>
              <w:rPr>
                <w:sz w:val="4"/>
                <w:szCs w:val="4"/>
              </w:rPr>
            </w:pPr>
            <w:r>
              <w:rPr>
                <w:sz w:val="4"/>
                <w:szCs w:val="4"/>
              </w:rPr>
            </w:r>
          </w:p>
        </w:tc>
      </w:tr>
      <w:tr>
        <w:trPr/>
        <w:tc>
          <w:tcPr>
            <w:tcW w:w="1524" w:type="dxa"/>
            <w:tcBorders/>
          </w:tcPr>
          <w:p>
            <w:pPr>
              <w:pStyle w:val="TableContents"/>
              <w:bidi w:val="0"/>
              <w:spacing w:before="0" w:after="283"/>
              <w:jc w:val="left"/>
              <w:rPr/>
            </w:pPr>
            <w:r>
              <w:rPr/>
              <w:drawing>
                <wp:inline distT="0" distB="0" distL="0" distR="0">
                  <wp:extent cx="857250" cy="4762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10"/>
                          <a:stretch>
                            <a:fillRect/>
                          </a:stretch>
                        </pic:blipFill>
                        <pic:spPr bwMode="auto">
                          <a:xfrm>
                            <a:off x="0" y="0"/>
                            <a:ext cx="857250" cy="4762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right"/>
              <w:rPr>
                <w:rFonts w:ascii="Arial" w:hAnsi="Arial"/>
                <w:b/>
                <w:color w:val="0077BC"/>
              </w:rPr>
            </w:pPr>
            <w:r>
              <w:rPr>
                <w:rFonts w:ascii="Arial" w:hAnsi="Arial"/>
                <w:b/>
                <w:color w:val="0077BC"/>
              </w:rPr>
              <w:t>Aveanna Healthcare Holdings Inc. Annual Meeting of Stockholders</w:t>
            </w:r>
          </w:p>
        </w:tc>
      </w:tr>
    </w:tbl>
    <w:p>
      <w:pPr>
        <w:pStyle w:val="TextBody"/>
        <w:bidi w:val="0"/>
        <w:spacing w:before="0" w:after="0"/>
        <w:jc w:val="left"/>
        <w:rPr/>
      </w:pPr>
      <w:r>
        <w:rPr/>
        <w:t> </w:t>
      </w:r>
    </w:p>
    <w:p>
      <w:pPr>
        <w:pStyle w:val="TextBody"/>
        <w:bidi w:val="0"/>
        <w:spacing w:before="240" w:after="0"/>
        <w:jc w:val="left"/>
        <w:rPr>
          <w:rFonts w:ascii="Arial" w:hAnsi="Arial"/>
          <w:b/>
          <w:sz w:val="16"/>
        </w:rPr>
      </w:pPr>
      <w:r>
        <w:rPr>
          <w:rFonts w:ascii="Arial" w:hAnsi="Arial"/>
          <w:b/>
          <w:sz w:val="16"/>
        </w:rPr>
        <w:t xml:space="preserve">THE BOARD OF DIRECTORS RECOMMENDS A VOTE: </w:t>
      </w:r>
    </w:p>
    <w:p>
      <w:pPr>
        <w:pStyle w:val="TextBody"/>
        <w:bidi w:val="0"/>
        <w:spacing w:before="0" w:after="0"/>
        <w:jc w:val="left"/>
        <w:rPr/>
      </w:pPr>
      <w:r>
        <w:rPr/>
        <w:t>   </w:t>
      </w:r>
      <w:r>
        <w:rPr>
          <w:rFonts w:ascii="Arial" w:hAnsi="Arial"/>
          <w:b/>
          <w:sz w:val="16"/>
        </w:rPr>
        <w:t xml:space="preserve">FOR </w:t>
      </w:r>
      <w:r>
        <w:rPr>
          <w:rFonts w:ascii="Arial" w:hAnsi="Arial"/>
          <w:sz w:val="16"/>
        </w:rPr>
        <w:t xml:space="preserve">ON PROPOSALS 1, 2 AND 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3"/>
        <w:gridCol w:w="203"/>
        <w:gridCol w:w="9799"/>
      </w:tblGrid>
      <w:tr>
        <w:trPr/>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03" w:type="dxa"/>
            <w:tcBorders/>
            <w:shd w:fill="CCCCCC" w:val="clear"/>
            <w:vAlign w:val="center"/>
          </w:tcPr>
          <w:p>
            <w:pPr>
              <w:pStyle w:val="TableContents"/>
              <w:bidi w:val="0"/>
              <w:spacing w:before="0" w:after="283"/>
              <w:jc w:val="left"/>
              <w:rPr>
                <w:sz w:val="4"/>
                <w:szCs w:val="4"/>
              </w:rPr>
            </w:pPr>
            <w:r>
              <w:rPr>
                <w:sz w:val="4"/>
                <w:szCs w:val="4"/>
              </w:rPr>
            </w:r>
          </w:p>
        </w:tc>
        <w:tc>
          <w:tcPr>
            <w:tcW w:w="10002"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203" w:type="dxa"/>
            <w:tcBorders/>
            <w:shd w:fill="CCCCCC" w:val="clear"/>
          </w:tcPr>
          <w:p>
            <w:pPr>
              <w:pStyle w:val="TableContents"/>
              <w:bidi w:val="0"/>
              <w:spacing w:before="0" w:after="283"/>
              <w:jc w:val="left"/>
              <w:rPr>
                <w:sz w:val="4"/>
                <w:szCs w:val="4"/>
              </w:rPr>
            </w:pPr>
            <w:r>
              <w:rPr>
                <w:sz w:val="4"/>
                <w:szCs w:val="4"/>
              </w:rPr>
            </w:r>
          </w:p>
        </w:tc>
        <w:tc>
          <w:tcPr>
            <w:tcW w:w="203" w:type="dxa"/>
            <w:tcBorders/>
            <w:shd w:fill="CCCCCC" w:val="clear"/>
            <w:vAlign w:val="bottom"/>
          </w:tcPr>
          <w:p>
            <w:pPr>
              <w:pStyle w:val="TableContents"/>
              <w:bidi w:val="0"/>
              <w:spacing w:before="0" w:after="283"/>
              <w:jc w:val="left"/>
              <w:rPr/>
            </w:pPr>
            <w:r>
              <w:rPr/>
              <w:t>  </w:t>
            </w:r>
          </w:p>
        </w:tc>
        <w:tc>
          <w:tcPr>
            <w:tcW w:w="9799" w:type="dxa"/>
            <w:tcBorders/>
            <w:shd w:fill="CCCCCC" w:val="clear"/>
            <w:vAlign w:val="bottom"/>
          </w:tcPr>
          <w:p>
            <w:pPr>
              <w:pStyle w:val="TableContents"/>
              <w:bidi w:val="0"/>
              <w:spacing w:before="0" w:after="0"/>
              <w:jc w:val="both"/>
              <w:rPr>
                <w:rFonts w:ascii="Arial" w:hAnsi="Arial"/>
                <w:b/>
                <w:sz w:val="16"/>
              </w:rPr>
            </w:pPr>
            <w:r>
              <w:rPr>
                <w:rFonts w:ascii="Arial" w:hAnsi="Arial"/>
                <w:b/>
                <w:sz w:val="16"/>
              </w:rPr>
              <w:t>PROPOSAL</w:t>
            </w:r>
          </w:p>
        </w:tc>
      </w:tr>
      <w:tr>
        <w:trPr/>
        <w:tc>
          <w:tcPr>
            <w:tcW w:w="203" w:type="dxa"/>
            <w:tcBorders/>
          </w:tcPr>
          <w:p>
            <w:pPr>
              <w:pStyle w:val="TableContents"/>
              <w:bidi w:val="0"/>
              <w:spacing w:before="0" w:after="283"/>
              <w:jc w:val="left"/>
              <w:rPr>
                <w:rFonts w:ascii="Arial" w:hAnsi="Arial"/>
              </w:rPr>
            </w:pPr>
            <w:r>
              <w:rPr>
                <w:rFonts w:ascii="Arial" w:hAnsi="Arial"/>
              </w:rPr>
              <w:t>1.</w:t>
            </w:r>
          </w:p>
        </w:tc>
        <w:tc>
          <w:tcPr>
            <w:tcW w:w="203" w:type="dxa"/>
            <w:tcBorders/>
            <w:vAlign w:val="bottom"/>
          </w:tcPr>
          <w:p>
            <w:pPr>
              <w:pStyle w:val="TableContents"/>
              <w:bidi w:val="0"/>
              <w:spacing w:before="0" w:after="283"/>
              <w:jc w:val="left"/>
              <w:rPr/>
            </w:pPr>
            <w:r>
              <w:rPr/>
              <w:t>  </w:t>
            </w:r>
          </w:p>
        </w:tc>
        <w:tc>
          <w:tcPr>
            <w:tcW w:w="9799" w:type="dxa"/>
            <w:tcBorders/>
            <w:vAlign w:val="bottom"/>
          </w:tcPr>
          <w:p>
            <w:pPr>
              <w:pStyle w:val="TableContents"/>
              <w:bidi w:val="0"/>
              <w:spacing w:before="0" w:after="0"/>
              <w:jc w:val="both"/>
              <w:rPr>
                <w:rFonts w:ascii="Arial" w:hAnsi="Arial"/>
                <w:sz w:val="20"/>
              </w:rPr>
            </w:pPr>
            <w:r>
              <w:rPr>
                <w:rFonts w:ascii="Arial" w:hAnsi="Arial"/>
                <w:sz w:val="20"/>
              </w:rPr>
              <w:t>To elect the three Class II director nominees identified in the accompanying Proxy Statement to the Board of Directors of the Company, each to serve a three-year term expiring at the 2029 Annual Meeting of the Company’s stockholders.</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1.01 Rodney D. Windley</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1.02 Sam Weil</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1.03 Steven E. Rodgers</w:t>
            </w:r>
          </w:p>
        </w:tc>
      </w:tr>
      <w:tr>
        <w:trPr>
          <w:trHeight w:val="360" w:hRule="atLeast"/>
        </w:trPr>
        <w:tc>
          <w:tcPr>
            <w:tcW w:w="203" w:type="dxa"/>
            <w:tcBorders/>
            <w:vAlign w:val="center"/>
          </w:tcPr>
          <w:p>
            <w:pPr>
              <w:pStyle w:val="TableContents"/>
              <w:bidi w:val="0"/>
              <w:spacing w:before="0" w:after="283"/>
              <w:jc w:val="left"/>
              <w:rPr>
                <w:sz w:val="4"/>
                <w:szCs w:val="4"/>
              </w:rPr>
            </w:pPr>
            <w:r>
              <w:rPr>
                <w:sz w:val="4"/>
                <w:szCs w:val="4"/>
              </w:rPr>
            </w:r>
          </w:p>
        </w:tc>
        <w:tc>
          <w:tcPr>
            <w:tcW w:w="10002" w:type="dxa"/>
            <w:gridSpan w:val="2"/>
            <w:tcBorders/>
            <w:vAlign w:val="center"/>
          </w:tcPr>
          <w:p>
            <w:pPr>
              <w:pStyle w:val="TableContents"/>
              <w:bidi w:val="0"/>
              <w:spacing w:before="0" w:after="283"/>
              <w:jc w:val="left"/>
              <w:rPr>
                <w:sz w:val="4"/>
                <w:szCs w:val="4"/>
              </w:rPr>
            </w:pPr>
            <w:r>
              <w:rPr>
                <w:sz w:val="4"/>
                <w:szCs w:val="4"/>
              </w:rPr>
            </w:r>
          </w:p>
        </w:tc>
      </w:tr>
      <w:tr>
        <w:trPr/>
        <w:tc>
          <w:tcPr>
            <w:tcW w:w="203" w:type="dxa"/>
            <w:tcBorders/>
          </w:tcPr>
          <w:p>
            <w:pPr>
              <w:pStyle w:val="TableContents"/>
              <w:bidi w:val="0"/>
              <w:spacing w:before="0" w:after="283"/>
              <w:jc w:val="left"/>
              <w:rPr>
                <w:rFonts w:ascii="Arial" w:hAnsi="Arial"/>
              </w:rPr>
            </w:pPr>
            <w:r>
              <w:rPr>
                <w:rFonts w:ascii="Arial" w:hAnsi="Arial"/>
              </w:rPr>
              <w:t>2.</w:t>
            </w:r>
          </w:p>
        </w:tc>
        <w:tc>
          <w:tcPr>
            <w:tcW w:w="203" w:type="dxa"/>
            <w:tcBorders/>
            <w:vAlign w:val="bottom"/>
          </w:tcPr>
          <w:p>
            <w:pPr>
              <w:pStyle w:val="TableContents"/>
              <w:bidi w:val="0"/>
              <w:spacing w:before="0" w:after="283"/>
              <w:jc w:val="left"/>
              <w:rPr/>
            </w:pPr>
            <w:r>
              <w:rPr/>
              <w:t>  </w:t>
            </w:r>
          </w:p>
        </w:tc>
        <w:tc>
          <w:tcPr>
            <w:tcW w:w="9799" w:type="dxa"/>
            <w:tcBorders/>
            <w:vAlign w:val="bottom"/>
          </w:tcPr>
          <w:p>
            <w:pPr>
              <w:pStyle w:val="TableContents"/>
              <w:bidi w:val="0"/>
              <w:spacing w:before="0" w:after="0"/>
              <w:jc w:val="both"/>
              <w:rPr>
                <w:rFonts w:ascii="Arial" w:hAnsi="Arial"/>
                <w:sz w:val="20"/>
              </w:rPr>
            </w:pPr>
            <w:r>
              <w:rPr>
                <w:rFonts w:ascii="Arial" w:hAnsi="Arial"/>
                <w:sz w:val="20"/>
              </w:rPr>
              <w:t>To ratify the appointment of Ernst &amp; Young LLP as the Company’s independent registered public accountants for the fiscal year ending January 2, 2027.</w:t>
            </w:r>
          </w:p>
        </w:tc>
      </w:tr>
      <w:tr>
        <w:trPr>
          <w:trHeight w:val="120" w:hRule="atLeast"/>
        </w:trPr>
        <w:tc>
          <w:tcPr>
            <w:tcW w:w="203" w:type="dxa"/>
            <w:tcBorders/>
            <w:vAlign w:val="center"/>
          </w:tcPr>
          <w:p>
            <w:pPr>
              <w:pStyle w:val="TableContents"/>
              <w:bidi w:val="0"/>
              <w:spacing w:before="0" w:after="283"/>
              <w:jc w:val="left"/>
              <w:rPr>
                <w:sz w:val="4"/>
                <w:szCs w:val="4"/>
              </w:rPr>
            </w:pPr>
            <w:r>
              <w:rPr>
                <w:sz w:val="4"/>
                <w:szCs w:val="4"/>
              </w:rPr>
            </w:r>
          </w:p>
        </w:tc>
        <w:tc>
          <w:tcPr>
            <w:tcW w:w="10002" w:type="dxa"/>
            <w:gridSpan w:val="2"/>
            <w:tcBorders/>
            <w:vAlign w:val="center"/>
          </w:tcPr>
          <w:p>
            <w:pPr>
              <w:pStyle w:val="TableContents"/>
              <w:bidi w:val="0"/>
              <w:spacing w:before="0" w:after="283"/>
              <w:jc w:val="left"/>
              <w:rPr>
                <w:sz w:val="4"/>
                <w:szCs w:val="4"/>
              </w:rPr>
            </w:pPr>
            <w:r>
              <w:rPr>
                <w:sz w:val="4"/>
                <w:szCs w:val="4"/>
              </w:rPr>
            </w:r>
          </w:p>
        </w:tc>
      </w:tr>
      <w:tr>
        <w:trPr/>
        <w:tc>
          <w:tcPr>
            <w:tcW w:w="203" w:type="dxa"/>
            <w:tcBorders/>
          </w:tcPr>
          <w:p>
            <w:pPr>
              <w:pStyle w:val="TableContents"/>
              <w:bidi w:val="0"/>
              <w:spacing w:before="0" w:after="283"/>
              <w:jc w:val="left"/>
              <w:rPr>
                <w:rFonts w:ascii="Arial" w:hAnsi="Arial"/>
              </w:rPr>
            </w:pPr>
            <w:r>
              <w:rPr>
                <w:rFonts w:ascii="Arial" w:hAnsi="Arial"/>
              </w:rPr>
              <w:t>3.</w:t>
            </w:r>
          </w:p>
        </w:tc>
        <w:tc>
          <w:tcPr>
            <w:tcW w:w="203" w:type="dxa"/>
            <w:tcBorders/>
            <w:vAlign w:val="bottom"/>
          </w:tcPr>
          <w:p>
            <w:pPr>
              <w:pStyle w:val="TableContents"/>
              <w:bidi w:val="0"/>
              <w:spacing w:before="0" w:after="283"/>
              <w:jc w:val="left"/>
              <w:rPr/>
            </w:pPr>
            <w:r>
              <w:rPr/>
              <w:t>  </w:t>
            </w:r>
          </w:p>
        </w:tc>
        <w:tc>
          <w:tcPr>
            <w:tcW w:w="9799" w:type="dxa"/>
            <w:tcBorders/>
            <w:vAlign w:val="bottom"/>
          </w:tcPr>
          <w:p>
            <w:pPr>
              <w:pStyle w:val="TableContents"/>
              <w:bidi w:val="0"/>
              <w:spacing w:before="0" w:after="0"/>
              <w:jc w:val="both"/>
              <w:rPr>
                <w:rFonts w:ascii="Arial" w:hAnsi="Arial"/>
                <w:sz w:val="20"/>
              </w:rPr>
            </w:pPr>
            <w:r>
              <w:rPr>
                <w:rFonts w:ascii="Arial" w:hAnsi="Arial"/>
                <w:sz w:val="20"/>
              </w:rPr>
              <w:t>To approve, on an advisory, non-binding, basis, the compensation paid to the Company’s Named Executive Officers identified in the accompanying Proxy Statement.</w:t>
            </w:r>
          </w:p>
        </w:tc>
      </w:tr>
      <w:tr>
        <w:trPr>
          <w:trHeight w:val="120" w:hRule="atLeast"/>
        </w:trPr>
        <w:tc>
          <w:tcPr>
            <w:tcW w:w="203" w:type="dxa"/>
            <w:tcBorders/>
            <w:vAlign w:val="center"/>
          </w:tcPr>
          <w:p>
            <w:pPr>
              <w:pStyle w:val="TableContents"/>
              <w:bidi w:val="0"/>
              <w:spacing w:before="0" w:after="283"/>
              <w:jc w:val="left"/>
              <w:rPr>
                <w:sz w:val="4"/>
                <w:szCs w:val="4"/>
              </w:rPr>
            </w:pPr>
            <w:r>
              <w:rPr>
                <w:sz w:val="4"/>
                <w:szCs w:val="4"/>
              </w:rPr>
            </w:r>
          </w:p>
        </w:tc>
        <w:tc>
          <w:tcPr>
            <w:tcW w:w="10002" w:type="dxa"/>
            <w:gridSpan w:val="2"/>
            <w:tcBorders/>
            <w:vAlign w:val="center"/>
          </w:tcPr>
          <w:p>
            <w:pPr>
              <w:pStyle w:val="TableContents"/>
              <w:bidi w:val="0"/>
              <w:spacing w:before="0" w:after="283"/>
              <w:jc w:val="left"/>
              <w:rPr>
                <w:sz w:val="4"/>
                <w:szCs w:val="4"/>
              </w:rPr>
            </w:pPr>
            <w:r>
              <w:rPr>
                <w:sz w:val="4"/>
                <w:szCs w:val="4"/>
              </w:rPr>
            </w:r>
          </w:p>
        </w:tc>
      </w:tr>
      <w:tr>
        <w:trPr/>
        <w:tc>
          <w:tcPr>
            <w:tcW w:w="203" w:type="dxa"/>
            <w:tcBorders/>
          </w:tcPr>
          <w:p>
            <w:pPr>
              <w:pStyle w:val="TableContents"/>
              <w:bidi w:val="0"/>
              <w:spacing w:before="0" w:after="283"/>
              <w:jc w:val="left"/>
              <w:rPr>
                <w:rFonts w:ascii="Arial" w:hAnsi="Arial"/>
              </w:rPr>
            </w:pPr>
            <w:r>
              <w:rPr>
                <w:rFonts w:ascii="Arial" w:hAnsi="Arial"/>
              </w:rPr>
              <w:t>4.</w:t>
            </w:r>
          </w:p>
        </w:tc>
        <w:tc>
          <w:tcPr>
            <w:tcW w:w="203" w:type="dxa"/>
            <w:tcBorders/>
            <w:vAlign w:val="bottom"/>
          </w:tcPr>
          <w:p>
            <w:pPr>
              <w:pStyle w:val="TableContents"/>
              <w:bidi w:val="0"/>
              <w:spacing w:before="0" w:after="283"/>
              <w:jc w:val="left"/>
              <w:rPr/>
            </w:pPr>
            <w:r>
              <w:rPr/>
              <w:t>  </w:t>
            </w:r>
          </w:p>
        </w:tc>
        <w:tc>
          <w:tcPr>
            <w:tcW w:w="9799" w:type="dxa"/>
            <w:tcBorders/>
            <w:vAlign w:val="bottom"/>
          </w:tcPr>
          <w:p>
            <w:pPr>
              <w:pStyle w:val="TableContents"/>
              <w:bidi w:val="0"/>
              <w:spacing w:before="0" w:after="0"/>
              <w:jc w:val="both"/>
              <w:rPr>
                <w:rFonts w:ascii="Arial" w:hAnsi="Arial"/>
                <w:sz w:val="20"/>
              </w:rPr>
            </w:pPr>
            <w:r>
              <w:rPr>
                <w:rFonts w:ascii="Arial" w:hAnsi="Arial"/>
                <w:sz w:val="20"/>
              </w:rPr>
              <w:t>To consider any other business that is properly presented at the Meeting and any adjournment or postponement thereof.</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NOTE: In the proxies’ discretion, the proxies are authorized to vote on any other matters, which may properly come before the Annual Meeting or any adjournment(s) or postponement(s) thereof.</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551</Words>
  <Characters>2865</Characters>
  <CharactersWithSpaces>3457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