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418465</wp:posOffset>
            </wp:positionH>
            <wp:positionV relativeFrom="page">
              <wp:posOffset>700405</wp:posOffset>
            </wp:positionV>
            <wp:extent cx="67163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6395" cy="6985"/>
                    </a:xfrm>
                    <a:prstGeom prst="rect">
                      <a:avLst/>
                    </a:prstGeom>
                    <a:noFill/>
                  </pic:spPr>
                </pic:pic>
              </a:graphicData>
            </a:graphic>
          </wp:anchor>
        </w:drawing>
        <w:drawing>
          <wp:anchor simplePos="0" relativeHeight="251657728" behindDoc="1" locked="0" layoutInCell="0" allowOverlap="1">
            <wp:simplePos x="0" y="0"/>
            <wp:positionH relativeFrom="page">
              <wp:posOffset>418465</wp:posOffset>
            </wp:positionH>
            <wp:positionV relativeFrom="page">
              <wp:posOffset>715010</wp:posOffset>
            </wp:positionV>
            <wp:extent cx="67163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6395" cy="6985"/>
                    </a:xfrm>
                    <a:prstGeom prst="rect">
                      <a:avLst/>
                    </a:prstGeom>
                    <a:noFill/>
                  </pic:spPr>
                </pic:pic>
              </a:graphicData>
            </a:graphic>
          </wp:anchor>
        </w:drawing>
        <w:t>UNITED STATES</w:t>
      </w:r>
    </w:p>
    <w:p>
      <w:pPr>
        <w:spacing w:after="0" w:line="3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103505</wp:posOffset>
            </wp:positionV>
            <wp:extent cx="13544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7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3544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305"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3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3544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6985"/>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273050</wp:posOffset>
            </wp:positionV>
            <wp:extent cx="1065530" cy="578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5530" cy="5784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6"/>
          <w:szCs w:val="36"/>
          <w:b w:val="1"/>
          <w:bCs w:val="1"/>
          <w:color w:val="auto"/>
        </w:rPr>
        <w:t>Aveanna Healthcare Holdings Inc.</w:t>
      </w:r>
    </w:p>
    <w:p>
      <w:pPr>
        <w:spacing w:after="0" w:line="6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203200</wp:posOffset>
            </wp:positionV>
            <wp:extent cx="13544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tbl>
      <w:tblPr>
        <w:tblLayout w:type="fixed"/>
        <w:tblInd w:w="1141" w:type="dxa"/>
        <w:tblCellMar>
          <w:top w:w="0" w:type="dxa"/>
          <w:left w:w="0" w:type="dxa"/>
          <w:bottom w:w="0" w:type="dxa"/>
          <w:right w:w="0" w:type="dxa"/>
        </w:tblCellMar>
      </w:tblPr>
      <w:tr>
        <w:trPr>
          <w:trHeight w:val="167"/>
        </w:trPr>
        <w:tc>
          <w:tcPr>
            <w:tcW w:w="2780" w:type="dxa"/>
            <w:vAlign w:val="bottom"/>
          </w:tcPr>
          <w:p>
            <w:pPr>
              <w:jc w:val="center"/>
              <w:ind w:right="65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40" w:type="dxa"/>
            <w:vAlign w:val="bottom"/>
          </w:tcPr>
          <w:p>
            <w:pPr>
              <w:jc w:val="right"/>
              <w:ind w:right="1296"/>
              <w:spacing w:after="0"/>
              <w:rPr>
                <w:sz w:val="20"/>
                <w:szCs w:val="20"/>
                <w:color w:val="auto"/>
              </w:rPr>
            </w:pPr>
            <w:r>
              <w:rPr>
                <w:rFonts w:ascii="Times New Roman" w:cs="Times New Roman" w:eastAsia="Times New Roman" w:hAnsi="Times New Roman"/>
                <w:sz w:val="14"/>
                <w:szCs w:val="14"/>
                <w:b w:val="1"/>
                <w:bCs w:val="1"/>
                <w:color w:val="auto"/>
              </w:rPr>
              <w:t>001-40362</w:t>
            </w:r>
          </w:p>
        </w:tc>
        <w:tc>
          <w:tcPr>
            <w:tcW w:w="18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81-4717209</w:t>
            </w:r>
          </w:p>
        </w:tc>
      </w:tr>
      <w:tr>
        <w:trPr>
          <w:trHeight w:val="133"/>
        </w:trPr>
        <w:tc>
          <w:tcPr>
            <w:tcW w:w="2780" w:type="dxa"/>
            <w:vAlign w:val="bottom"/>
          </w:tcPr>
          <w:p>
            <w:pPr>
              <w:jc w:val="center"/>
              <w:ind w:right="636"/>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3040" w:type="dxa"/>
            <w:vAlign w:val="bottom"/>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(Commission File Number)</w:t>
            </w:r>
          </w:p>
        </w:tc>
        <w:tc>
          <w:tcPr>
            <w:tcW w:w="1880" w:type="dxa"/>
            <w:vAlign w:val="bottom"/>
          </w:tcPr>
          <w:p>
            <w:pPr>
              <w:jc w:val="center"/>
              <w:ind w:left="938"/>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2780" w:type="dxa"/>
            <w:vAlign w:val="bottom"/>
          </w:tcPr>
          <w:p>
            <w:pPr>
              <w:jc w:val="center"/>
              <w:ind w:right="65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3040" w:type="dxa"/>
            <w:vAlign w:val="bottom"/>
          </w:tcPr>
          <w:p>
            <w:pPr>
              <w:spacing w:after="0"/>
              <w:rPr>
                <w:sz w:val="12"/>
                <w:szCs w:val="12"/>
                <w:color w:val="auto"/>
              </w:rPr>
            </w:pPr>
          </w:p>
        </w:tc>
        <w:tc>
          <w:tcPr>
            <w:tcW w:w="1880" w:type="dxa"/>
            <w:vAlign w:val="bottom"/>
          </w:tcPr>
          <w:p>
            <w:pPr>
              <w:jc w:val="center"/>
              <w:ind w:left="958"/>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21"/>
        </w:trPr>
        <w:tc>
          <w:tcPr>
            <w:tcW w:w="2780" w:type="dxa"/>
            <w:vAlign w:val="bottom"/>
          </w:tcPr>
          <w:p>
            <w:pPr>
              <w:jc w:val="center"/>
              <w:ind w:right="656"/>
              <w:spacing w:after="0"/>
              <w:rPr>
                <w:sz w:val="20"/>
                <w:szCs w:val="20"/>
                <w:color w:val="auto"/>
              </w:rPr>
            </w:pPr>
            <w:r>
              <w:rPr>
                <w:rFonts w:ascii="Times New Roman" w:cs="Times New Roman" w:eastAsia="Times New Roman" w:hAnsi="Times New Roman"/>
                <w:sz w:val="14"/>
                <w:szCs w:val="14"/>
                <w:b w:val="1"/>
                <w:bCs w:val="1"/>
                <w:color w:val="auto"/>
              </w:rPr>
              <w:t>400 Interstate North Parkway SE</w:t>
            </w:r>
          </w:p>
        </w:tc>
        <w:tc>
          <w:tcPr>
            <w:tcW w:w="30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7"/>
        </w:trPr>
        <w:tc>
          <w:tcPr>
            <w:tcW w:w="2780" w:type="dxa"/>
            <w:vAlign w:val="bottom"/>
          </w:tcPr>
          <w:p>
            <w:pPr>
              <w:jc w:val="center"/>
              <w:ind w:right="676"/>
              <w:spacing w:after="0"/>
              <w:rPr>
                <w:sz w:val="20"/>
                <w:szCs w:val="20"/>
                <w:color w:val="auto"/>
              </w:rPr>
            </w:pPr>
            <w:r>
              <w:rPr>
                <w:rFonts w:ascii="Times New Roman" w:cs="Times New Roman" w:eastAsia="Times New Roman" w:hAnsi="Times New Roman"/>
                <w:sz w:val="14"/>
                <w:szCs w:val="14"/>
                <w:b w:val="1"/>
                <w:bCs w:val="1"/>
                <w:color w:val="auto"/>
              </w:rPr>
              <w:t>Atlanta, Georgia</w:t>
            </w:r>
          </w:p>
        </w:tc>
        <w:tc>
          <w:tcPr>
            <w:tcW w:w="3040" w:type="dxa"/>
            <w:vAlign w:val="bottom"/>
          </w:tcPr>
          <w:p>
            <w:pPr>
              <w:spacing w:after="0"/>
              <w:rPr>
                <w:sz w:val="14"/>
                <w:szCs w:val="14"/>
                <w:color w:val="auto"/>
              </w:rPr>
            </w:pPr>
          </w:p>
        </w:tc>
        <w:tc>
          <w:tcPr>
            <w:tcW w:w="18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30339</w:t>
            </w:r>
          </w:p>
        </w:tc>
      </w:tr>
      <w:tr>
        <w:trPr>
          <w:trHeight w:val="145"/>
        </w:trPr>
        <w:tc>
          <w:tcPr>
            <w:tcW w:w="2780" w:type="dxa"/>
            <w:vAlign w:val="bottom"/>
          </w:tcPr>
          <w:p>
            <w:pPr>
              <w:jc w:val="center"/>
              <w:ind w:right="65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040" w:type="dxa"/>
            <w:vAlign w:val="bottom"/>
          </w:tcPr>
          <w:p>
            <w:pPr>
              <w:spacing w:after="0"/>
              <w:rPr>
                <w:sz w:val="12"/>
                <w:szCs w:val="12"/>
                <w:color w:val="auto"/>
              </w:rPr>
            </w:pPr>
          </w:p>
        </w:tc>
        <w:tc>
          <w:tcPr>
            <w:tcW w:w="1880" w:type="dxa"/>
            <w:vAlign w:val="bottom"/>
          </w:tcPr>
          <w:p>
            <w:pPr>
              <w:jc w:val="center"/>
              <w:ind w:left="958"/>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bl>
    <w:p>
      <w:pPr>
        <w:spacing w:after="0" w:line="34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770 441-1580</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5" w:lineRule="exact"/>
        <w:rPr>
          <w:sz w:val="24"/>
          <w:szCs w:val="2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40" w:orient="portrait"/>
          <w:cols w:equalWidth="0" w:num="1">
            <w:col w:w="10341"/>
          </w:cols>
          <w:pgMar w:left="659" w:top="1353" w:right="900" w:bottom="1440" w:gutter="0" w:footer="0" w:header="0"/>
        </w:sectPr>
      </w:pPr>
    </w:p>
    <w:p>
      <w:pPr>
        <w:spacing w:after="0" w:line="328" w:lineRule="exact"/>
        <w:rPr>
          <w:sz w:val="24"/>
          <w:szCs w:val="24"/>
          <w:color w:val="auto"/>
        </w:rPr>
      </w:pPr>
    </w:p>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4" w:lineRule="exact"/>
        <w:rPr>
          <w:sz w:val="24"/>
          <w:szCs w:val="24"/>
          <w:color w:val="auto"/>
        </w:rPr>
      </w:pPr>
    </w:p>
    <w:p>
      <w:pPr>
        <w:jc w:val="center"/>
        <w:ind w:left="121"/>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Trading</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Symbol(s)</w:t>
      </w:r>
    </w:p>
    <w:p>
      <w:pPr>
        <w:spacing w:after="0" w:line="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AVAH</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152" w:lineRule="exact"/>
        <w:rPr>
          <w:sz w:val="24"/>
          <w:szCs w:val="24"/>
          <w:color w:val="auto"/>
        </w:rPr>
      </w:pPr>
    </w:p>
    <w:p>
      <w:pPr>
        <w:sectPr>
          <w:pgSz w:w="11900" w:h="16840" w:orient="portrait"/>
          <w:cols w:equalWidth="0" w:num="3">
            <w:col w:w="3901" w:space="720"/>
            <w:col w:w="1520" w:space="720"/>
            <w:col w:w="3480"/>
          </w:cols>
          <w:pgMar w:left="659" w:top="1353" w:right="900" w:bottom="1440" w:gutter="0" w:footer="0" w:header="0"/>
          <w:type w:val="continuous"/>
        </w:sectPr>
      </w:pPr>
    </w:p>
    <w:p>
      <w:pPr>
        <w:ind w:left="1"/>
        <w:spacing w:after="0" w:line="316"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w:t>
      </w:r>
      <w:r>
        <w:rPr>
          <w:rFonts w:ascii="Arial" w:cs="Arial" w:eastAsia="Arial" w:hAnsi="Arial"/>
          <w:sz w:val="14"/>
          <w:szCs w:val="14"/>
          <w:color w:val="auto"/>
        </w:rPr>
        <w:t> </w:t>
      </w:r>
      <w:r>
        <w:rPr>
          <w:rFonts w:ascii="Times New Roman" w:cs="Times New Roman" w:eastAsia="Times New Roman" w:hAnsi="Times New Roman"/>
          <w:sz w:val="14"/>
          <w:szCs w:val="14"/>
          <w:color w:val="auto"/>
        </w:rPr>
        <w:t>230.405 of this chapter) or Rule 12b-2 of the Securities Exchange Act of 1934 (§</w:t>
      </w:r>
      <w:r>
        <w:rPr>
          <w:rFonts w:ascii="Arial" w:cs="Arial" w:eastAsia="Arial" w:hAnsi="Arial"/>
          <w:sz w:val="14"/>
          <w:szCs w:val="14"/>
          <w:color w:val="auto"/>
        </w:rPr>
        <w:t> </w:t>
      </w:r>
      <w:r>
        <w:rPr>
          <w:rFonts w:ascii="Times New Roman" w:cs="Times New Roman" w:eastAsia="Times New Roman" w:hAnsi="Times New Roman"/>
          <w:sz w:val="14"/>
          <w:szCs w:val="14"/>
          <w:color w:val="auto"/>
        </w:rPr>
        <w:t>240.12b-2 of this chapter).</w:t>
      </w:r>
    </w:p>
    <w:p>
      <w:pPr>
        <w:spacing w:after="0" w:line="33" w:lineRule="exact"/>
        <w:rPr>
          <w:sz w:val="24"/>
          <w:szCs w:val="24"/>
          <w:color w:val="auto"/>
        </w:rPr>
      </w:pPr>
    </w:p>
    <w:p>
      <w:pPr>
        <w:ind w:left="1"/>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2" w:lineRule="exact"/>
        <w:rPr>
          <w:sz w:val="24"/>
          <w:szCs w:val="24"/>
          <w:color w:val="auto"/>
        </w:rPr>
      </w:pPr>
    </w:p>
    <w:p>
      <w:pPr>
        <w:ind w:left="1" w:right="30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494030</wp:posOffset>
            </wp:positionV>
            <wp:extent cx="674179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1795" cy="39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67163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639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104775</wp:posOffset>
            </wp:positionV>
            <wp:extent cx="67163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6395" cy="6985"/>
                    </a:xfrm>
                    <a:prstGeom prst="rect">
                      <a:avLst/>
                    </a:prstGeom>
                    <a:noFill/>
                  </pic:spPr>
                </pic:pic>
              </a:graphicData>
            </a:graphic>
          </wp:anchor>
        </w:drawing>
      </w:r>
    </w:p>
    <w:p>
      <w:pPr>
        <w:sectPr>
          <w:pgSz w:w="11900" w:h="16840" w:orient="portrait"/>
          <w:cols w:equalWidth="0" w:num="1">
            <w:col w:w="10341"/>
          </w:cols>
          <w:pgMar w:left="659" w:top="1353" w:right="90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9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On September 29, 2025, Aveanna Healthcare Holdings Inc. (the "Company", "we", "us", or "our") made available a financial presentation to investors. A copy of the presentation is attached hereto as Exhibit 99.1 and incorporated by reference in this Item 7.01. A copy of the presentation is also available on our website at ir.aveanna.com.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our Website and Social Media to Distribute Material Company Information</w:t>
      </w:r>
    </w:p>
    <w:p>
      <w:pPr>
        <w:spacing w:after="0" w:line="1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4"/>
          <w:szCs w:val="14"/>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www.aveanna.com.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 -mail and other notifications alerting them when certain new information is made available on our website. Information contained on, or accessible through, our website is not a part of and is not incorporated by reference in this Current Report on Form 8-K.</w:t>
      </w:r>
    </w:p>
    <w:p>
      <w:pPr>
        <w:spacing w:after="0" w:line="136" w:lineRule="exact"/>
        <w:rPr>
          <w:sz w:val="20"/>
          <w:szCs w:val="20"/>
          <w:color w:val="auto"/>
        </w:rPr>
      </w:pPr>
    </w:p>
    <w:p>
      <w:pPr>
        <w:jc w:val="both"/>
        <w:ind w:right="280"/>
        <w:spacing w:after="0" w:line="269" w:lineRule="auto"/>
        <w:rPr>
          <w:sz w:val="20"/>
          <w:szCs w:val="20"/>
          <w:color w:val="auto"/>
        </w:rPr>
      </w:pPr>
      <w:r>
        <w:rPr>
          <w:rFonts w:ascii="Times New Roman" w:cs="Times New Roman" w:eastAsia="Times New Roman" w:hAnsi="Times New Roman"/>
          <w:sz w:val="14"/>
          <w:szCs w:val="14"/>
          <w:color w:val="auto"/>
        </w:rPr>
        <w:t>The information contained in this Item 7.01, including in Exhibit 99.1 attached hereto, is “furnished” and not “filed” for purposes of Section 18 of the Exchange Act or otherwise subject to the liabilities of that section. Such information shall not be incorporated by reference in another filing under the Exchange Act or the Securities Act, except to the extent such other filing specifically incorporates such information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0" w:type="dxa"/>
            <w:vAlign w:val="bottom"/>
          </w:tcPr>
          <w:p>
            <w:pPr>
              <w:jc w:val="center"/>
              <w:ind w:right="153"/>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8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40" w:type="dxa"/>
            <w:vAlign w:val="bottom"/>
          </w:tcPr>
          <w:p>
            <w:pPr>
              <w:jc w:val="center"/>
              <w:ind w:right="153"/>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820" w:type="dxa"/>
            <w:vAlign w:val="bottom"/>
          </w:tcPr>
          <w:p>
            <w:pPr>
              <w:spacing w:after="0"/>
              <w:rPr>
                <w:sz w:val="12"/>
                <w:szCs w:val="12"/>
                <w:color w:val="auto"/>
              </w:rPr>
            </w:pPr>
          </w:p>
        </w:tc>
        <w:tc>
          <w:tcPr>
            <w:tcW w:w="6920" w:type="dxa"/>
            <w:vAlign w:val="bottom"/>
          </w:tcPr>
          <w:p>
            <w:pPr>
              <w:ind w:left="17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56"/>
        </w:trPr>
        <w:tc>
          <w:tcPr>
            <w:tcW w:w="8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99.1</w:t>
            </w:r>
          </w:p>
        </w:tc>
        <w:tc>
          <w:tcPr>
            <w:tcW w:w="9740" w:type="dxa"/>
            <w:vAlign w:val="bottom"/>
            <w:gridSpan w:val="2"/>
          </w:tcPr>
          <w:p>
            <w:pPr>
              <w:spacing w:after="0" w:line="156" w:lineRule="exact"/>
              <w:rPr>
                <w:rFonts w:ascii="Times New Roman" w:cs="Times New Roman" w:eastAsia="Times New Roman" w:hAnsi="Times New Roman"/>
                <w:sz w:val="14"/>
                <w:szCs w:val="14"/>
                <w:color w:val="0000FF"/>
              </w:rPr>
            </w:pPr>
            <w:hyperlink w:anchor="page1">
              <w:r>
                <w:rPr>
                  <w:rFonts w:ascii="Times New Roman" w:cs="Times New Roman" w:eastAsia="Times New Roman" w:hAnsi="Times New Roman"/>
                  <w:sz w:val="14"/>
                  <w:szCs w:val="14"/>
                  <w:color w:val="0000FF"/>
                </w:rPr>
                <w:t>Aveanna Investor Presentation - September 2025</w:t>
              </w:r>
            </w:hyperlink>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104</w:t>
            </w:r>
          </w:p>
        </w:tc>
        <w:tc>
          <w:tcPr>
            <w:tcW w:w="282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 w:type="dxa"/>
            <w:vAlign w:val="bottom"/>
            <w:vMerge w:val="continue"/>
          </w:tcPr>
          <w:p>
            <w:pPr>
              <w:spacing w:after="0"/>
              <w:rPr>
                <w:sz w:val="15"/>
                <w:szCs w:val="15"/>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r>
        <w:trPr>
          <w:trHeight w:val="789"/>
        </w:trPr>
        <w:tc>
          <w:tcPr>
            <w:tcW w:w="840" w:type="dxa"/>
            <w:vAlign w:val="bottom"/>
            <w:tcBorders>
              <w:bottom w:val="single" w:sz="8" w:color="EEEEEE"/>
            </w:tcBorders>
          </w:tcPr>
          <w:p>
            <w:pPr>
              <w:spacing w:after="0"/>
              <w:rPr>
                <w:sz w:val="24"/>
                <w:szCs w:val="24"/>
                <w:color w:val="auto"/>
              </w:rPr>
            </w:pPr>
          </w:p>
        </w:tc>
        <w:tc>
          <w:tcPr>
            <w:tcW w:w="2820" w:type="dxa"/>
            <w:vAlign w:val="bottom"/>
            <w:tcBorders>
              <w:bottom w:val="single" w:sz="8" w:color="EEEEEE"/>
            </w:tcBorders>
          </w:tcPr>
          <w:p>
            <w:pPr>
              <w:spacing w:after="0"/>
              <w:rPr>
                <w:sz w:val="24"/>
                <w:szCs w:val="24"/>
                <w:color w:val="auto"/>
              </w:rPr>
            </w:pPr>
          </w:p>
        </w:tc>
        <w:tc>
          <w:tcPr>
            <w:tcW w:w="6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674179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1356" w:right="66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AVEANNA HEALTHCARE HOLDINGS INC.</w:t>
            </w:r>
          </w:p>
        </w:tc>
      </w:tr>
      <w:tr>
        <w:trPr>
          <w:trHeight w:val="420"/>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September 29, 2025</w:t>
            </w:r>
          </w:p>
        </w:tc>
        <w:tc>
          <w:tcPr>
            <w:tcW w:w="20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By:</w:t>
            </w:r>
          </w:p>
        </w:tc>
        <w:tc>
          <w:tcPr>
            <w:tcW w:w="49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/s/ Matthew Buckhalter</w:t>
            </w:r>
          </w:p>
        </w:tc>
      </w:tr>
      <w:tr>
        <w:trPr>
          <w:trHeight w:val="167"/>
        </w:trPr>
        <w:tc>
          <w:tcPr>
            <w:tcW w:w="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9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Matthew Buckhalter</w:t>
            </w:r>
          </w:p>
        </w:tc>
      </w:tr>
      <w:tr>
        <w:trPr>
          <w:trHeight w:val="167"/>
        </w:trPr>
        <w:tc>
          <w:tcPr>
            <w:tcW w:w="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9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1"/>
        </w:trPr>
        <w:tc>
          <w:tcPr>
            <w:tcW w:w="4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9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r>
      <w:tr>
        <w:trPr>
          <w:trHeight w:val="923"/>
        </w:trPr>
        <w:tc>
          <w:tcPr>
            <w:tcW w:w="480" w:type="dxa"/>
            <w:vAlign w:val="bottom"/>
            <w:tcBorders>
              <w:bottom w:val="single" w:sz="8" w:color="EEEEEE"/>
            </w:tcBorders>
          </w:tcPr>
          <w:p>
            <w:pPr>
              <w:spacing w:after="0"/>
              <w:rPr>
                <w:sz w:val="24"/>
                <w:szCs w:val="24"/>
                <w:color w:val="auto"/>
              </w:rPr>
            </w:pPr>
          </w:p>
        </w:tc>
        <w:tc>
          <w:tcPr>
            <w:tcW w:w="308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4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674179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1089" w:right="66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111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5610" cy="411162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111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5610" cy="411162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418465</wp:posOffset>
            </wp:positionH>
            <wp:positionV relativeFrom="page">
              <wp:posOffset>361950</wp:posOffset>
            </wp:positionV>
            <wp:extent cx="6772910" cy="3803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772910" cy="38030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4" w:name="page35"/>
    <w:bookmarkEnd w:id="3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2025-09-30T11:50:57Z</dcterms:created>
  <dcterms:modified xsi:type="dcterms:W3CDTF">2025-09-30T11:50:57Z</dcterms:modified>
</cp:coreProperties>
</file>