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625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62559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47"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J.H. Whitney Equity Partners VII, LLC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Aveanna Healthcare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AVAH</w:t>
            </w:r>
          </w:p>
        </w:tc>
        <w:tc>
          <w:tcPr>
            <w:tcW w:w="80" w:type="dxa"/>
            <w:vAlign w:val="bottom"/>
          </w:tcPr>
          <w:p>
            <w:pPr>
              <w:spacing w:after="0"/>
              <w:rPr>
                <w:sz w:val="9"/>
                <w:szCs w:val="9"/>
                <w:color w:val="auto"/>
              </w:rPr>
            </w:pPr>
          </w:p>
        </w:tc>
        <w:tc>
          <w:tcPr>
            <w:tcW w:w="148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62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112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20" w:type="dxa"/>
            <w:vAlign w:val="bottom"/>
            <w:gridSpan w:val="5"/>
            <w:vMerge w:val="continue"/>
          </w:tcPr>
          <w:p>
            <w:pPr>
              <w:spacing w:after="0"/>
              <w:rPr>
                <w:sz w:val="5"/>
                <w:szCs w:val="5"/>
                <w:color w:val="auto"/>
              </w:rPr>
            </w:pPr>
          </w:p>
        </w:tc>
        <w:tc>
          <w:tcPr>
            <w:tcW w:w="420" w:type="dxa"/>
            <w:vAlign w:val="bottom"/>
            <w:gridSpan w:val="3"/>
            <w:vMerge w:val="restart"/>
          </w:tcPr>
          <w:p>
            <w:pPr>
              <w:ind w:left="160"/>
              <w:spacing w:after="0"/>
              <w:rPr>
                <w:sz w:val="20"/>
                <w:szCs w:val="20"/>
                <w:color w:val="auto"/>
              </w:rPr>
            </w:pPr>
            <w:r>
              <w:rPr>
                <w:rFonts w:ascii="Times New Roman" w:cs="Times New Roman" w:eastAsia="Times New Roman" w:hAnsi="Times New Roman"/>
                <w:sz w:val="21"/>
                <w:szCs w:val="21"/>
                <w:color w:val="auto"/>
              </w:rPr>
              <w:t>]</w:t>
            </w: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680" w:type="dxa"/>
            <w:vAlign w:val="bottom"/>
          </w:tcPr>
          <w:p>
            <w:pPr>
              <w:spacing w:after="0"/>
              <w:rPr>
                <w:sz w:val="5"/>
                <w:szCs w:val="5"/>
                <w:color w:val="auto"/>
              </w:rPr>
            </w:pPr>
          </w:p>
        </w:tc>
        <w:tc>
          <w:tcPr>
            <w:tcW w:w="1160" w:type="dxa"/>
            <w:vAlign w:val="bottom"/>
            <w:gridSpan w:val="3"/>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134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gridSpan w:val="3"/>
            <w:vMerge w:val="continue"/>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76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160" w:type="dxa"/>
            <w:vAlign w:val="bottom"/>
            <w:gridSpan w:val="3"/>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vMerge w:val="restart"/>
          </w:tcPr>
          <w:p>
            <w:pPr>
              <w:ind w:left="240"/>
              <w:spacing w:after="0"/>
              <w:rPr>
                <w:sz w:val="20"/>
                <w:szCs w:val="20"/>
                <w:color w:val="auto"/>
              </w:rPr>
            </w:pPr>
            <w:r>
              <w:rPr>
                <w:rFonts w:ascii="Arial" w:cs="Arial" w:eastAsia="Arial" w:hAnsi="Arial"/>
                <w:sz w:val="13"/>
                <w:szCs w:val="13"/>
                <w:color w:val="auto"/>
              </w:rPr>
              <w:t>(First)</w:t>
            </w: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ind w:left="200"/>
              <w:spacing w:after="0" w:line="113" w:lineRule="exact"/>
              <w:rPr>
                <w:sz w:val="20"/>
                <w:szCs w:val="20"/>
                <w:color w:val="auto"/>
              </w:rPr>
            </w:pPr>
            <w:r>
              <w:rPr>
                <w:rFonts w:ascii="Arial" w:cs="Arial" w:eastAsia="Arial" w:hAnsi="Arial"/>
                <w:sz w:val="13"/>
                <w:szCs w:val="13"/>
                <w:color w:val="auto"/>
              </w:rPr>
              <w:t>below)</w:t>
            </w:r>
          </w:p>
        </w:tc>
        <w:tc>
          <w:tcPr>
            <w:tcW w:w="680" w:type="dxa"/>
            <w:vAlign w:val="bottom"/>
          </w:tcPr>
          <w:p>
            <w:pPr>
              <w:spacing w:after="0"/>
              <w:rPr>
                <w:sz w:val="10"/>
                <w:szCs w:val="10"/>
                <w:color w:val="auto"/>
              </w:rPr>
            </w:pPr>
          </w:p>
        </w:tc>
        <w:tc>
          <w:tcPr>
            <w:tcW w:w="1160" w:type="dxa"/>
            <w:vAlign w:val="bottom"/>
            <w:gridSpan w:val="3"/>
          </w:tcPr>
          <w:p>
            <w:pPr>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980" w:type="dxa"/>
            <w:vAlign w:val="bottom"/>
            <w:gridSpan w:val="4"/>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212 ELM STREET</w:t>
            </w: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980" w:type="dxa"/>
            <w:vAlign w:val="bottom"/>
            <w:gridSpan w:val="4"/>
            <w:vMerge w:val="continue"/>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0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60" w:type="dxa"/>
            <w:vAlign w:val="bottom"/>
            <w:tcBorders>
              <w:bottom w:val="single" w:sz="8" w:color="808080"/>
            </w:tcBorders>
            <w:gridSpan w:val="5"/>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2960" w:type="dxa"/>
            <w:vAlign w:val="bottom"/>
            <w:tcBorders>
              <w:bottom w:val="single" w:sz="8" w:color="808080"/>
            </w:tcBorders>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6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40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2C2C2C"/>
          </w:tcPr>
          <w:p>
            <w:pPr>
              <w:spacing w:after="0" w:line="20" w:lineRule="exact"/>
              <w:rPr>
                <w:sz w:val="1"/>
                <w:szCs w:val="1"/>
                <w:color w:val="auto"/>
              </w:rPr>
            </w:pPr>
          </w:p>
        </w:tc>
        <w:tc>
          <w:tcPr>
            <w:tcW w:w="3460" w:type="dxa"/>
            <w:vAlign w:val="bottom"/>
            <w:gridSpan w:val="5"/>
            <w:shd w:val="clear" w:color="auto" w:fill="2C2C2C"/>
          </w:tcPr>
          <w:p>
            <w:pPr>
              <w:spacing w:after="0" w:line="20" w:lineRule="exact"/>
              <w:rPr>
                <w:sz w:val="1"/>
                <w:szCs w:val="1"/>
                <w:color w:val="auto"/>
              </w:rPr>
            </w:pPr>
          </w:p>
        </w:tc>
        <w:tc>
          <w:tcPr>
            <w:tcW w:w="200" w:type="dxa"/>
            <w:vAlign w:val="bottom"/>
            <w:shd w:val="clear" w:color="auto" w:fill="2C2C2C"/>
          </w:tcPr>
          <w:p>
            <w:pPr>
              <w:spacing w:after="0" w:line="20" w:lineRule="exact"/>
              <w:rPr>
                <w:sz w:val="1"/>
                <w:szCs w:val="1"/>
                <w:color w:val="auto"/>
              </w:rPr>
            </w:pPr>
          </w:p>
        </w:tc>
        <w:tc>
          <w:tcPr>
            <w:tcW w:w="80" w:type="dxa"/>
            <w:vAlign w:val="bottom"/>
            <w:shd w:val="clear" w:color="auto" w:fill="2C2C2C"/>
          </w:tcPr>
          <w:p>
            <w:pPr>
              <w:spacing w:after="0" w:line="20" w:lineRule="exact"/>
              <w:rPr>
                <w:sz w:val="1"/>
                <w:szCs w:val="1"/>
                <w:color w:val="auto"/>
              </w:rPr>
            </w:pPr>
          </w:p>
        </w:tc>
        <w:tc>
          <w:tcPr>
            <w:tcW w:w="340" w:type="dxa"/>
            <w:vAlign w:val="bottom"/>
            <w:shd w:val="clear" w:color="auto" w:fill="2C2C2C"/>
          </w:tcPr>
          <w:p>
            <w:pPr>
              <w:spacing w:after="0" w:line="20" w:lineRule="exact"/>
              <w:rPr>
                <w:sz w:val="1"/>
                <w:szCs w:val="1"/>
                <w:color w:val="auto"/>
              </w:rPr>
            </w:pPr>
          </w:p>
        </w:tc>
        <w:tc>
          <w:tcPr>
            <w:tcW w:w="2960" w:type="dxa"/>
            <w:vAlign w:val="bottom"/>
            <w:gridSpan w:val="5"/>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gridSpan w:val="5"/>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NEW</w:t>
            </w:r>
          </w:p>
        </w:tc>
        <w:tc>
          <w:tcPr>
            <w:tcW w:w="1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CT</w:t>
            </w: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06840</w:t>
            </w: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20" w:type="dxa"/>
            <w:vAlign w:val="bottom"/>
            <w:gridSpan w:val="5"/>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CANAAN</w:t>
            </w:r>
          </w:p>
        </w:tc>
        <w:tc>
          <w:tcPr>
            <w:tcW w:w="13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20" w:type="dxa"/>
            <w:vAlign w:val="bottom"/>
            <w:gridSpan w:val="5"/>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9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340" w:type="dxa"/>
            <w:vAlign w:val="bottom"/>
            <w:vMerge w:val="restart"/>
          </w:tcPr>
          <w:p>
            <w:pPr>
              <w:ind w:left="240"/>
              <w:spacing w:after="0"/>
              <w:rPr>
                <w:sz w:val="20"/>
                <w:szCs w:val="20"/>
                <w:color w:val="auto"/>
              </w:rPr>
            </w:pPr>
            <w:r>
              <w:rPr>
                <w:rFonts w:ascii="Arial" w:cs="Arial" w:eastAsia="Arial" w:hAnsi="Arial"/>
                <w:sz w:val="13"/>
                <w:szCs w:val="13"/>
                <w:color w:val="auto"/>
              </w:rPr>
              <w:t>(State)</w:t>
            </w: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740" w:type="dxa"/>
            <w:vAlign w:val="bottom"/>
            <w:tcBorders>
              <w:bottom w:val="single" w:sz="8" w:color="2C2C2C"/>
            </w:tcBorders>
            <w:gridSpan w:val="7"/>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6"/>
          </w:tcPr>
          <w:p>
            <w:pPr>
              <w:ind w:left="1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23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40" w:type="dxa"/>
            <w:vAlign w:val="bottom"/>
          </w:tcPr>
          <w:p>
            <w:pPr>
              <w:spacing w:after="0"/>
              <w:rPr>
                <w:sz w:val="15"/>
                <w:szCs w:val="15"/>
                <w:color w:val="auto"/>
              </w:rPr>
            </w:pPr>
          </w:p>
        </w:tc>
        <w:tc>
          <w:tcPr>
            <w:tcW w:w="1100" w:type="dxa"/>
            <w:vAlign w:val="bottom"/>
            <w:gridSpan w:val="5"/>
          </w:tcPr>
          <w:p>
            <w:pPr>
              <w:ind w:left="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8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240" w:type="dxa"/>
            <w:vAlign w:val="bottom"/>
          </w:tcPr>
          <w:p>
            <w:pPr>
              <w:spacing w:after="0"/>
              <w:rPr>
                <w:sz w:val="11"/>
                <w:szCs w:val="11"/>
                <w:color w:val="auto"/>
              </w:rPr>
            </w:pP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4"/>
            <w:vMerge w:val="continue"/>
          </w:tcPr>
          <w:p>
            <w:pPr>
              <w:spacing w:after="0"/>
              <w:rPr>
                <w:sz w:val="8"/>
                <w:szCs w:val="8"/>
                <w:color w:val="auto"/>
              </w:rPr>
            </w:pPr>
          </w:p>
        </w:tc>
        <w:tc>
          <w:tcPr>
            <w:tcW w:w="108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23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6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0</w:t>
            </w:r>
          </w:p>
        </w:tc>
        <w:tc>
          <w:tcPr>
            <w:tcW w:w="680" w:type="dxa"/>
            <w:vAlign w:val="bottom"/>
            <w:tcBorders>
              <w:bottom w:val="single" w:sz="8" w:color="2C2C2C"/>
            </w:tcBorders>
          </w:tcPr>
          <w:p>
            <w:pPr>
              <w:ind w:left="3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2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J.H.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640" w:type="dxa"/>
            <w:vAlign w:val="bottom"/>
          </w:tcPr>
          <w:p>
            <w:pPr>
              <w:spacing w:after="0"/>
              <w:rPr>
                <w:sz w:val="18"/>
                <w:szCs w:val="18"/>
                <w:color w:val="auto"/>
              </w:rPr>
            </w:pPr>
          </w:p>
        </w:tc>
        <w:tc>
          <w:tcPr>
            <w:tcW w:w="1100" w:type="dxa"/>
            <w:vAlign w:val="bottom"/>
            <w:gridSpan w:val="5"/>
          </w:tcPr>
          <w:p>
            <w:pPr>
              <w:jc w:val="right"/>
              <w:ind w:right="95"/>
              <w:spacing w:after="0"/>
              <w:rPr>
                <w:sz w:val="20"/>
                <w:szCs w:val="20"/>
                <w:color w:val="auto"/>
              </w:rPr>
            </w:pPr>
            <w:r>
              <w:rPr>
                <w:rFonts w:ascii="Times New Roman" w:cs="Times New Roman" w:eastAsia="Times New Roman" w:hAnsi="Times New Roman"/>
                <w:sz w:val="17"/>
                <w:szCs w:val="17"/>
                <w:color w:val="0000FF"/>
              </w:rPr>
              <w:t>06/24/2026</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919,389</w:t>
            </w: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18"/>
                <w:szCs w:val="18"/>
                <w:color w:val="auto"/>
              </w:rPr>
            </w:pPr>
          </w:p>
        </w:tc>
        <w:tc>
          <w:tcPr>
            <w:tcW w:w="420" w:type="dxa"/>
            <w:vAlign w:val="bottom"/>
            <w:gridSpan w:val="2"/>
          </w:tcPr>
          <w:p>
            <w:pPr>
              <w:jc w:val="right"/>
              <w:ind w:right="13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w:t>
            </w:r>
          </w:p>
        </w:tc>
        <w:tc>
          <w:tcPr>
            <w:tcW w:w="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12,531,158</w:t>
            </w:r>
          </w:p>
        </w:tc>
        <w:tc>
          <w:tcPr>
            <w:tcW w:w="68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Whitney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VII, L.P.</w:t>
            </w:r>
            <w:r>
              <w:rPr>
                <w:rFonts w:ascii="Times New Roman" w:cs="Times New Roman" w:eastAsia="Times New Roman" w:hAnsi="Times New Roman"/>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PSA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Healthcare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15,523,810</w:t>
            </w:r>
          </w:p>
        </w:tc>
        <w:tc>
          <w:tcPr>
            <w:tcW w:w="68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PSA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1,426,034</w:t>
            </w:r>
          </w:p>
        </w:tc>
        <w:tc>
          <w:tcPr>
            <w:tcW w:w="68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Iliad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20" w:type="dxa"/>
            <w:vAlign w:val="bottom"/>
            <w:gridSpan w:val="4"/>
            <w:vMerge w:val="continue"/>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120"/>
        <w:spacing w:after="0" w:line="185" w:lineRule="auto"/>
        <w:rPr>
          <w:sz w:val="20"/>
          <w:szCs w:val="20"/>
          <w:color w:val="auto"/>
        </w:rPr>
      </w:pPr>
      <w:r>
        <w:rPr>
          <w:rFonts w:ascii="Times New Roman" w:cs="Times New Roman" w:eastAsia="Times New Roman" w:hAnsi="Times New Roman"/>
          <w:sz w:val="24"/>
          <w:szCs w:val="24"/>
          <w:color w:val="0000FF"/>
          <w:vertAlign w:val="subscript"/>
        </w:rPr>
        <w:t>LLC</w:t>
      </w:r>
      <w:r>
        <w:rPr>
          <w:rFonts w:ascii="Times New Roman" w:cs="Times New Roman" w:eastAsia="Times New Roman" w:hAnsi="Times New Roman"/>
          <w:sz w:val="10"/>
          <w:szCs w:val="10"/>
          <w:color w:val="008000"/>
        </w:rPr>
        <w:t>(1)</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J.H. Whitney Equity Partners VII, LLC ("Equity Partners VII") is the general partner of J.H. Whitney VII, L.P. ("JHW VII") and Whitney Strategic Partners VII, L.P. ("Strategic Partners VII"). Strategic Partners VII is the managing member of each of PSA Healthcare Investment Holdings LLC ("PSA Healthcare") and PSA Iliad Holdings LLC ("PSA Iliad Holdings," and, collectively with JHW VII and PSA Healthcare, the "Stockholder Entities"). As a result, Equity Partners VII may be deemed to share voting and dispositive power with respect to shares of common stock, $0.01 par value per share (the "Shares"), held by each of the Stockholder Entities, and Strategic Partners VII may be deemed to share voting and dispositive power with respect to the Shares held by each of PSA Healthcare and PSA Iliad Holdings. Each of Equity Partners VII and Strategic Partners VII disclaims beneficial ownership of such securities except to the extent of its pecuniary interest therein.</w:t>
      </w:r>
    </w:p>
    <w:p>
      <w:pPr>
        <w:spacing w:after="0" w:line="4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Zatlukal,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06/26/2026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4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67459" TargetMode="External"/><Relationship Id="rId14" Type="http://schemas.openxmlformats.org/officeDocument/2006/relationships/hyperlink" Target="http://www.sec.gov/cgi-bin/browse-edgar?action=getcompany&amp;CIK=0001832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2026-06-26T14:23:06Z</dcterms:created>
  <dcterms:modified xsi:type="dcterms:W3CDTF">2026-06-26T14:23:06Z</dcterms:modified>
</cp:coreProperties>
</file>