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8829ddef14a.htm"/>
        <w:bookmarkStart w:id="1" w:name="ksd798829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tc>
      </w:tr>
    </w:tbl>
    <w:p>
      <w:pPr>
        <w:pStyle w:val="TextBody"/>
        <w:bidi w:val="0"/>
        <w:spacing w:before="360" w:after="0"/>
        <w:jc w:val="center"/>
        <w:rPr>
          <w:rFonts w:ascii="Times New Roman" w:hAnsi="Times New Roman"/>
          <w:b/>
          <w:sz w:val="44"/>
        </w:rPr>
      </w:pPr>
      <w:r>
        <w:rPr>
          <w:rFonts w:ascii="Times New Roman" w:hAnsi="Times New Roman"/>
          <w:b/>
          <w:sz w:val="44"/>
        </w:rPr>
        <w:t xml:space="preserve">Aveanna Healthcare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left"/>
        <w:rPr/>
      </w:pPr>
      <w:r>
        <w:rPr/>
        <w:t>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Persons(s) Filing Proxy Statement, if other than the Registrant) </w:t>
      </w:r>
    </w:p>
    <w:p>
      <w:pPr>
        <w:pStyle w:val="TextBody"/>
        <w:bidi w:val="0"/>
        <w:spacing w:before="36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19925"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AVEANNA HEALTHCARE TRANSFORMING THE VALUE OF HOMECARE 2026 NOTICE OF ANNUAL MEETING AND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19925"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Dear Aveanna Shareholders,    April 17, 2026 On behalf of everyone at Aveanna, thank you for being a shareholder and for your continued interest in our company. We remain focused on our Aveanna Mission: to revolutionize the way homecare is delivered, one patient at a time. Fiscal year 2025 was a critical and defining year for Aveanna. It marked the third year and successful completion of our Strategic Transformation strategy, and it reflected strong execution across every part of our organization. We delivered exceptional financial results, finalized modernization efforts across all lines of business, completed the acquisition and integration of Thrive Skilled Pediatric Care, and meaningfully strengthened our balance sheet through a comprehensive debt refinancing. Together, these accomplishments contributed to a year that overwhelmingly demonstrated the value of what we have created, while positioning us for sustainable growth, operating efficiency, and long-term value creation. Strong financial performance supported by operating discipline For fiscal year 2025, we delivered approximately $2.433 billion in revenue and $320.9 million of adjusted EBITDA1, reflecting substantial year-over-year growth of 20.2% and 74.8%, respectively. Net cash provided by operating activities was $125.9 million and our free cash flow1 was $131.0 million for the fiscal year that ended January 3, 2026. These results were supported not only by growth, but by operating efficiencies achieved as we finalized modernization initiatives across Private Duty Services, Home Health and Hospice, and Medical Solutions. Over the course of our Strategic Transformation, we streamlined processes, standardized workflows, invested in meaningful technology, and aligned clinical capacity with payors that value quality and outcomes. As we exit 2025, these modernization efforts are largely complete, providing Aveanna with a more scalable, efficient, and resilient operating platform. Expanding our pediatric platform through the acquisition of Thrive In 2025, we completed the acquisition of Thrive Skilled Pediatric Care, one of the leading independent providers of pediatric home care in the United States. The addition of Thrive strengthens our footprint in existing states while also introducing Aveanna’s specialized care model into two new states, expanding access to high-quality, in-home pediatric care for more medically complex children and their families. Just as important as the geographic expansion is our mutual focus on clinical quality and the exceptional cultural and clinical alignment between our organizations. Strengthening the balance sheet through a transformative refinancing In 2025, Aveanna completed a significant refinancing of its credit facility, marking an important milestone in the company’s financial evolution. This refinancing simplified our capital structure, extended maturities, increased liquidity, and strengthened our balance sheet. It reflects both the strong operating performance delivered through our Strategic Transformation and the confidence our capital partners have in Aveanna’s national home care platform and long-term strategy. Completing the Strategic Transformation and building the next chapter As we close the chapter on our three-year Strategic Transformation, we do so with enormous pride. The foundation it created enables the next phase of growth, one focused on scale, efficiency, innovation, and continued leadership in home and community-based care. It also allows us to continue to pursue new acquisitions, such as our recently announced agreement to acquire Family First Homecare, as we continue to expand our services and our impact on the families we serve. I am incredibly proud of the Aveanna team, our caregivers, clinicians, and employees, whose dedication makes our mission possible. We are equally grateful to the patients and families who trust us with their care. Together, we are building a stronger Aveanna, one that delivers high-quality, patient-preferred care, leads with clinical excellence, and creates long-term value for our shareholders as we look ahead in 2026 and beyond. Jeff Shaner Chief Executive Officer and Director 1 Adjusted EBITDA and free cash flow are not financial measures prepared in accordance with GAAP. For information on how we compute these non-GAAP measures and reconciliations to the most directly comparable financial measures prepared in accordance with GAAP, please see “Non-GAAP Financial Measures” in the accompanying Annual Report and “Non-GAAP Financial Measures” in our earnings release     furnished as exhibit 99.1 to the Current Report on Form 8-K filed with the SEC on March 19,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650"/>
        <w:gridCol w:w="120"/>
        <w:gridCol w:w="6005"/>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05"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both"/>
              <w:rPr/>
            </w:pPr>
            <w:r>
              <w:rPr/>
              <w:t> </w:t>
            </w:r>
            <w:r>
              <w:rPr>
                <w:rFonts w:ascii="Times New Roman" w:hAnsi="Times New Roman"/>
                <w:sz w:val="20"/>
              </w:rPr>
              <w:t>Date:</w:t>
            </w:r>
          </w:p>
        </w:tc>
        <w:tc>
          <w:tcPr>
            <w:tcW w:w="12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Friday, May 29, 2026</w:t>
            </w:r>
          </w:p>
        </w:tc>
      </w:tr>
      <w:tr>
        <w:trPr/>
        <w:tc>
          <w:tcPr>
            <w:tcW w:w="650" w:type="dxa"/>
            <w:tcBorders/>
            <w:vAlign w:val="center"/>
          </w:tcPr>
          <w:p>
            <w:pPr>
              <w:pStyle w:val="TableContents"/>
              <w:bidi w:val="0"/>
              <w:spacing w:before="0" w:after="0"/>
              <w:jc w:val="both"/>
              <w:rPr/>
            </w:pPr>
            <w:r>
              <w:rPr/>
              <w:t> </w:t>
            </w:r>
            <w:r>
              <w:rPr>
                <w:rFonts w:ascii="Times New Roman" w:hAnsi="Times New Roman"/>
                <w:sz w:val="20"/>
              </w:rPr>
              <w:t>Time:</w:t>
            </w:r>
          </w:p>
        </w:tc>
        <w:tc>
          <w:tcPr>
            <w:tcW w:w="12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9:30 a.m., Eastern Time</w:t>
            </w:r>
          </w:p>
        </w:tc>
      </w:tr>
      <w:tr>
        <w:trPr/>
        <w:tc>
          <w:tcPr>
            <w:tcW w:w="650" w:type="dxa"/>
            <w:tcBorders/>
            <w:vAlign w:val="center"/>
          </w:tcPr>
          <w:p>
            <w:pPr>
              <w:pStyle w:val="TableContents"/>
              <w:bidi w:val="0"/>
              <w:spacing w:before="0" w:after="0"/>
              <w:jc w:val="both"/>
              <w:rPr/>
            </w:pPr>
            <w:r>
              <w:rPr/>
              <w:t> </w:t>
            </w:r>
            <w:r>
              <w:rPr>
                <w:rFonts w:ascii="Times New Roman" w:hAnsi="Times New Roman"/>
                <w:sz w:val="20"/>
              </w:rPr>
              <w:t>Place:</w:t>
            </w:r>
          </w:p>
        </w:tc>
        <w:tc>
          <w:tcPr>
            <w:tcW w:w="12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Aveanna Healthcare, 400 Interstate North Parkway SE, Atlanta, GA 30339</w:t>
            </w:r>
          </w:p>
        </w:tc>
      </w:tr>
    </w:tbl>
    <w:p>
      <w:pPr>
        <w:pStyle w:val="TextBody"/>
        <w:bidi w:val="0"/>
        <w:spacing w:before="240" w:after="0"/>
        <w:jc w:val="both"/>
        <w:rPr>
          <w:rFonts w:ascii="Times New Roman" w:hAnsi="Times New Roman"/>
          <w:sz w:val="20"/>
        </w:rPr>
      </w:pPr>
      <w:r>
        <w:rPr>
          <w:rFonts w:ascii="Times New Roman" w:hAnsi="Times New Roman"/>
          <w:sz w:val="20"/>
        </w:rPr>
        <w:t xml:space="preserve">Notice is hereby given that the Annual Meeting of Stockholders (the “Meeting”) of Aveanna Healthcare Holdings Inc., a Delaware corporation (the “Company”), will be held on Friday, May 29, 2026, beginning at 9:30 a.m., Eastern Time. The Meeting will be held in person at Aveanna Healthcare, 400 Interstate North Parkway SE, Atlanta, GA 30339. At the Meeting, we will ask you to consider and vote upon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elect the three Class II director nominees identified in the accompanying Proxy Statement to the Board of Directors of the Company, each to serve a three-year term expiring at the 2029 Annual Meeting of the Company’s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2.</w:t>
            </w:r>
          </w:p>
        </w:tc>
        <w:tc>
          <w:tcPr>
            <w:tcW w:w="1000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ratify the appointment of Ernst &amp; Young LLP as the Company’s independent registered public accountants for the fiscal year ending January 2,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3.</w:t>
            </w:r>
          </w:p>
        </w:tc>
        <w:tc>
          <w:tcPr>
            <w:tcW w:w="1000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on an advisory, non-binding basis, the compensation paid to the Company’s Named Executive Officers identified in the accompanying Proxy Statement.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215"/>
        <w:gridCol w:w="9755"/>
      </w:tblGrid>
      <w:tr>
        <w:trPr/>
        <w:tc>
          <w:tcPr>
            <w:tcW w:w="215" w:type="dxa"/>
            <w:tcBorders/>
            <w:vAlign w:val="center"/>
          </w:tcPr>
          <w:p>
            <w:pPr>
              <w:pStyle w:val="TableContents"/>
              <w:bidi w:val="0"/>
              <w:spacing w:before="0" w:after="283"/>
              <w:jc w:val="left"/>
              <w:rPr/>
            </w:pPr>
            <w:r>
              <w:rPr/>
              <w:t>4.</w:t>
            </w:r>
          </w:p>
        </w:tc>
        <w:tc>
          <w:tcPr>
            <w:tcW w:w="97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consider any other business that is properly presented at the Meeting and any adjournment or postponement thereof.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are mailing a Notice of Internet Availability of Proxy Materials (the “Notice”) to our stockholders of record as of April 6, 2026 (the “Record Date”) instead of paper copies of our Proxy Statement and 2025 Annual Report. The Notice contains instructions on how to access those documents via the Internet. The Notice also contains instructions on how stockholders can receive a paper copy of our proxy materials, including the Proxy Statement, our 2025 Annual Report and proxy card. The Notice, Proxy Statement and form of proxy are being distributed and made available on the Internet on or about April 17,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3"/>
        <w:gridCol w:w="120"/>
        <w:gridCol w:w="8532"/>
      </w:tblGrid>
      <w:tr>
        <w:trPr/>
        <w:tc>
          <w:tcPr>
            <w:tcW w:w="15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32" w:type="dxa"/>
            <w:tcBorders/>
            <w:vAlign w:val="center"/>
          </w:tcPr>
          <w:p>
            <w:pPr>
              <w:pStyle w:val="TableContents"/>
              <w:bidi w:val="0"/>
              <w:spacing w:before="0" w:after="283"/>
              <w:jc w:val="left"/>
              <w:rPr>
                <w:sz w:val="4"/>
                <w:szCs w:val="4"/>
              </w:rPr>
            </w:pPr>
            <w:r>
              <w:rPr>
                <w:sz w:val="4"/>
                <w:szCs w:val="4"/>
              </w:rPr>
            </w:r>
          </w:p>
        </w:tc>
      </w:tr>
      <w:tr>
        <w:trPr/>
        <w:tc>
          <w:tcPr>
            <w:tcW w:w="15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Who can vote:</w:t>
            </w:r>
          </w:p>
        </w:tc>
        <w:tc>
          <w:tcPr>
            <w:tcW w:w="120" w:type="dxa"/>
            <w:tcBorders/>
            <w:vAlign w:val="center"/>
          </w:tcPr>
          <w:p>
            <w:pPr>
              <w:pStyle w:val="TableContents"/>
              <w:bidi w:val="0"/>
              <w:spacing w:before="0" w:after="283"/>
              <w:jc w:val="left"/>
              <w:rPr/>
            </w:pPr>
            <w:r>
              <w:rPr/>
              <w:t>  </w:t>
            </w:r>
          </w:p>
        </w:tc>
        <w:tc>
          <w:tcPr>
            <w:tcW w:w="85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Stockholders of record at the close of business on the Record Date.</w:t>
            </w:r>
          </w:p>
        </w:tc>
      </w:tr>
      <w:tr>
        <w:trPr/>
        <w:tc>
          <w:tcPr>
            <w:tcW w:w="1553" w:type="dxa"/>
            <w:tcBorders/>
            <w:vAlign w:val="center"/>
          </w:tcPr>
          <w:p>
            <w:pPr>
              <w:pStyle w:val="TableContents"/>
              <w:bidi w:val="0"/>
              <w:spacing w:before="0" w:after="283"/>
              <w:jc w:val="left"/>
              <w:rPr>
                <w:sz w:val="4"/>
                <w:szCs w:val="4"/>
              </w:rPr>
            </w:pPr>
            <w:r>
              <w:rPr>
                <w:sz w:val="4"/>
                <w:szCs w:val="4"/>
              </w:rPr>
            </w:r>
          </w:p>
        </w:tc>
        <w:tc>
          <w:tcPr>
            <w:tcW w:w="8652" w:type="dxa"/>
            <w:gridSpan w:val="2"/>
            <w:tcBorders/>
            <w:vAlign w:val="center"/>
          </w:tcPr>
          <w:p>
            <w:pPr>
              <w:pStyle w:val="TableContents"/>
              <w:bidi w:val="0"/>
              <w:spacing w:before="0" w:after="283"/>
              <w:jc w:val="left"/>
              <w:rPr>
                <w:sz w:val="4"/>
                <w:szCs w:val="4"/>
              </w:rPr>
            </w:pPr>
            <w:r>
              <w:rPr>
                <w:sz w:val="4"/>
                <w:szCs w:val="4"/>
              </w:rPr>
            </w:r>
          </w:p>
        </w:tc>
      </w:tr>
      <w:tr>
        <w:trPr/>
        <w:tc>
          <w:tcPr>
            <w:tcW w:w="15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How you can vote:  </w:t>
            </w:r>
          </w:p>
        </w:tc>
        <w:tc>
          <w:tcPr>
            <w:tcW w:w="120" w:type="dxa"/>
            <w:tcBorders/>
            <w:vAlign w:val="center"/>
          </w:tcPr>
          <w:p>
            <w:pPr>
              <w:pStyle w:val="TableContents"/>
              <w:bidi w:val="0"/>
              <w:spacing w:before="0" w:after="283"/>
              <w:jc w:val="left"/>
              <w:rPr/>
            </w:pPr>
            <w:r>
              <w:rPr/>
              <w:t>  </w:t>
            </w:r>
          </w:p>
        </w:tc>
        <w:tc>
          <w:tcPr>
            <w:tcW w:w="85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Stockholders may vote their shares (1) at the Meeting, (2) by telephone, (3) through the Internet, or (4) by completing and mailing a proxy card if you receive your proxy materials by mail. Specific instructions for voting by telephone at 866-460-4193 or through the Internet (including voting deadlines) are included in the Notice and in the proxy card. For specific instructions on how to vote your shares, please refer to the instructions on the Notice, in the section titled “SOME QUESTIONS YOU MAY HAVE REGARDING THIS PROXY STATEMENT AND THE ANNUAL MEETING” of the accompanying Proxy Statement or on the proxy card. Stockholders who received their proxy card through an intermediary (such as a broker or bank) must deliver it in accordance with the instructions given by such intermediary.</w:t>
            </w:r>
          </w:p>
        </w:tc>
      </w:tr>
      <w:tr>
        <w:trPr/>
        <w:tc>
          <w:tcPr>
            <w:tcW w:w="1553" w:type="dxa"/>
            <w:tcBorders/>
            <w:vAlign w:val="center"/>
          </w:tcPr>
          <w:p>
            <w:pPr>
              <w:pStyle w:val="TableContents"/>
              <w:bidi w:val="0"/>
              <w:spacing w:before="0" w:after="283"/>
              <w:jc w:val="left"/>
              <w:rPr>
                <w:sz w:val="4"/>
                <w:szCs w:val="4"/>
              </w:rPr>
            </w:pPr>
            <w:r>
              <w:rPr>
                <w:sz w:val="4"/>
                <w:szCs w:val="4"/>
              </w:rPr>
            </w:r>
          </w:p>
        </w:tc>
        <w:tc>
          <w:tcPr>
            <w:tcW w:w="8652" w:type="dxa"/>
            <w:gridSpan w:val="2"/>
            <w:tcBorders/>
            <w:vAlign w:val="center"/>
          </w:tcPr>
          <w:p>
            <w:pPr>
              <w:pStyle w:val="TableContents"/>
              <w:bidi w:val="0"/>
              <w:spacing w:before="0" w:after="283"/>
              <w:jc w:val="left"/>
              <w:rPr>
                <w:sz w:val="4"/>
                <w:szCs w:val="4"/>
              </w:rPr>
            </w:pPr>
            <w:r>
              <w:rPr>
                <w:sz w:val="4"/>
                <w:szCs w:val="4"/>
              </w:rPr>
            </w:r>
          </w:p>
        </w:tc>
      </w:tr>
      <w:tr>
        <w:trPr/>
        <w:tc>
          <w:tcPr>
            <w:tcW w:w="15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Who may attend:</w:t>
            </w:r>
          </w:p>
        </w:tc>
        <w:tc>
          <w:tcPr>
            <w:tcW w:w="120" w:type="dxa"/>
            <w:tcBorders/>
            <w:vAlign w:val="center"/>
          </w:tcPr>
          <w:p>
            <w:pPr>
              <w:pStyle w:val="TableContents"/>
              <w:bidi w:val="0"/>
              <w:spacing w:before="0" w:after="283"/>
              <w:jc w:val="left"/>
              <w:rPr/>
            </w:pPr>
            <w:r>
              <w:rPr/>
              <w:t>  </w:t>
            </w:r>
          </w:p>
        </w:tc>
        <w:tc>
          <w:tcPr>
            <w:tcW w:w="85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Stockholders of record as of the Record Date, or their duly appointed proxies, and our invited guests are permitted to attend the Meeting. Upon arrival at the Meeting, you will be required to register and present government-issued photo identification, such as your driver’s license, state identification card or passport. If your shares are registered in the name of a bank, brokerage firm or other nominee, and you plan to attend the Meeting, then please bring your statement of account showing evidence of ownership as of the Record Date.</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860" w:type="dxa"/>
        <w:jc w:val="left"/>
        <w:tblInd w:w="0" w:type="dxa"/>
        <w:tblLayout w:type="fixed"/>
        <w:tblCellMar>
          <w:top w:w="0" w:type="dxa"/>
          <w:left w:w="0" w:type="dxa"/>
          <w:bottom w:w="0" w:type="dxa"/>
          <w:right w:w="0" w:type="dxa"/>
        </w:tblCellMar>
      </w:tblPr>
      <w:tblGrid>
        <w:gridCol w:w="3860"/>
      </w:tblGrid>
      <w:tr>
        <w:trPr/>
        <w:tc>
          <w:tcPr>
            <w:tcW w:w="386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c>
          <w:tcPr>
            <w:tcW w:w="386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Rodney D. Windley</w:t>
            </w:r>
          </w:p>
          <w:p>
            <w:pPr>
              <w:pStyle w:val="TableContents"/>
              <w:bidi w:val="0"/>
              <w:spacing w:before="0" w:after="20"/>
              <w:jc w:val="left"/>
              <w:rPr>
                <w:rFonts w:ascii="Times New Roman" w:hAnsi="Times New Roman"/>
                <w:sz w:val="20"/>
              </w:rPr>
            </w:pPr>
            <w:r>
              <w:rPr>
                <w:rFonts w:ascii="Times New Roman" w:hAnsi="Times New Roman"/>
                <w:sz w:val="20"/>
              </w:rPr>
              <w:t>Chairman</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17, 2026</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IMPORTANT NOTICE REGARDING THE AVAILABILITY OF PROXY MATERIALS FOR THE STOCKHOLDER MEETING TO BE HELD ON MAY 29, 2026: </w:t>
      </w:r>
    </w:p>
    <w:p>
      <w:pPr>
        <w:pStyle w:val="TextBody"/>
        <w:bidi w:val="0"/>
        <w:spacing w:before="240" w:after="0"/>
        <w:jc w:val="center"/>
        <w:rPr>
          <w:rFonts w:ascii="Times New Roman" w:hAnsi="Times New Roman"/>
          <w:b/>
          <w:sz w:val="20"/>
        </w:rPr>
      </w:pPr>
      <w:r>
        <w:rPr>
          <w:rFonts w:ascii="Times New Roman" w:hAnsi="Times New Roman"/>
          <w:b/>
          <w:sz w:val="20"/>
        </w:rPr>
        <w:t xml:space="preserve">The Notice of Internet Availability of Proxy Materials, Notice of Meeting, Proxy Statement and 2025 </w:t>
      </w:r>
    </w:p>
    <w:p>
      <w:pPr>
        <w:pStyle w:val="TextBody"/>
        <w:bidi w:val="0"/>
        <w:spacing w:before="0" w:after="0"/>
        <w:jc w:val="center"/>
        <w:rPr>
          <w:rFonts w:ascii="Times New Roman" w:hAnsi="Times New Roman"/>
          <w:b/>
          <w:sz w:val="20"/>
        </w:rPr>
      </w:pPr>
      <w:r>
        <w:rPr>
          <w:rFonts w:ascii="Times New Roman" w:hAnsi="Times New Roman"/>
          <w:b/>
          <w:sz w:val="20"/>
        </w:rPr>
        <w:t xml:space="preserve">Annual Report to Stockholders are available free of charge at www.proxydocs.com/AVAH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
              <w:r>
                <w:rPr>
                  <w:rStyle w:val="InternetLink"/>
                </w:rPr>
                <w:t>SOME QUESTIONS YOU MAY HAVE REGARDING THIS PROXY STATEMENT AND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2">
              <w:r>
                <w:rPr>
                  <w:rStyle w:val="InternetLink"/>
                </w:rPr>
                <w:t>DIRECTORS AND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3">
              <w:r>
                <w:rPr>
                  <w:rStyle w:val="InternetLink"/>
                </w:rPr>
                <w:t>PROPOSAL 1—ELECTION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4">
              <w:r>
                <w:rPr>
                  <w:rStyle w:val="InternetLink"/>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5">
              <w:r>
                <w:rPr>
                  <w:rStyle w:val="InternetLink"/>
                </w:rPr>
                <w:t>CODE OF ETHICAL BUSINESS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6">
              <w:r>
                <w:rPr>
                  <w:rStyle w:val="InternetLink"/>
                </w:rPr>
                <w:t>PROPOSAL 2—RATIFICATION OF APPOINTMENT OF INDEPENDENT REGISTERED PUBLIC ACCOUNTANTS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7">
              <w:r>
                <w:rPr>
                  <w:rStyle w:val="InternetLink"/>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8">
              <w:r>
                <w:rPr>
                  <w:rStyle w:val="InternetLink"/>
                </w:rPr>
                <w:t>STOCK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9">
              <w:r>
                <w:rPr>
                  <w:rStyle w:val="InternetLink"/>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0">
              <w:r>
                <w:rPr>
                  <w:rStyle w:val="InternetLink"/>
                </w:rPr>
                <w:t>EQUITY COMPENSATION PLAN INFORMATION AS OF JANUARY 3, 2026</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1">
              <w:r>
                <w:rPr>
                  <w:rStyle w:val="InternetLink"/>
                </w:rPr>
                <w:t>PROPOSAL 3—ADVISORY, NON-BINDING, VOTE ON THE COMPENSATION PAID TO THE COMPANY’S NAMED EXECUTIVE OFFICERS (“SAY ON PAY”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2">
              <w:r>
                <w:rPr>
                  <w:rStyle w:val="InternetLink"/>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3">
              <w:r>
                <w:rPr>
                  <w:rStyle w:val="InternetLink"/>
                </w:rPr>
                <w:t>REPORT OF THE 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4">
              <w:r>
                <w:rPr>
                  <w:rStyle w:val="InternetLink"/>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5">
              <w:r>
                <w:rPr>
                  <w:rStyle w:val="InternetLink"/>
                </w:rPr>
                <w:t>NAMED EXECUTIVE OFFICER EMPLOYMENT AGREEMENT PROVISIONS: 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6">
              <w:r>
                <w:rPr>
                  <w:rStyle w:val="InternetLink"/>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7">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rom798829_18">
              <w:r>
                <w:rPr>
                  <w:rStyle w:val="InternetLink"/>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Aveanna Healthcare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400 Interstate North Parkway SE </w:t>
      </w:r>
    </w:p>
    <w:p>
      <w:pPr>
        <w:pStyle w:val="TextBody"/>
        <w:bidi w:val="0"/>
        <w:spacing w:before="0" w:after="0"/>
        <w:jc w:val="center"/>
        <w:rPr>
          <w:rFonts w:ascii="Times New Roman" w:hAnsi="Times New Roman"/>
          <w:b/>
          <w:sz w:val="20"/>
        </w:rPr>
      </w:pPr>
      <w:r>
        <w:rPr>
          <w:rFonts w:ascii="Times New Roman" w:hAnsi="Times New Roman"/>
          <w:b/>
          <w:sz w:val="20"/>
        </w:rPr>
        <w:t xml:space="preserve">Atlanta, Georgia 30339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Annual Meeting of Stockholders of the Company to be held on May 29, 2026 </w:t>
      </w:r>
    </w:p>
    <w:p>
      <w:pPr>
        <w:pStyle w:val="TextBody"/>
        <w:bidi w:val="0"/>
        <w:spacing w:before="240" w:after="0"/>
        <w:jc w:val="center"/>
        <w:rPr>
          <w:rFonts w:ascii="Times New Roman" w:hAnsi="Times New Roman"/>
          <w:b/>
          <w:sz w:val="20"/>
        </w:rPr>
      </w:pPr>
      <w:bookmarkStart w:id="3" w:name="rom798829_1"/>
      <w:bookmarkEnd w:id="3"/>
      <w:r>
        <w:rPr>
          <w:rFonts w:ascii="Times New Roman" w:hAnsi="Times New Roman"/>
          <w:b/>
          <w:sz w:val="20"/>
        </w:rPr>
        <w:t xml:space="preserve">SOME QUESTIONS YOU MAY HAVE REGARDING THIS PROXY STATEMENT AND </w:t>
      </w:r>
    </w:p>
    <w:p>
      <w:pPr>
        <w:pStyle w:val="TextBody"/>
        <w:bidi w:val="0"/>
        <w:spacing w:before="0" w:after="0"/>
        <w:jc w:val="center"/>
        <w:rPr>
          <w:rFonts w:ascii="Times New Roman" w:hAnsi="Times New Roman"/>
          <w:b/>
          <w:sz w:val="20"/>
        </w:rPr>
      </w:pPr>
      <w:r>
        <w:rPr>
          <w:rFonts w:ascii="Times New Roman" w:hAnsi="Times New Roman"/>
          <w:b/>
          <w:sz w:val="20"/>
        </w:rPr>
        <w:t xml:space="preserve">THE ANNUAL MEETING </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b/>
              </w:rPr>
            </w:pPr>
            <w:r>
              <w:rPr>
                <w:b/>
              </w:rPr>
              <w:t>Q:</w:t>
            </w:r>
          </w:p>
        </w:tc>
        <w:tc>
          <w:tcPr>
            <w:tcW w:w="20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is this document?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document is the Proxy Statement of Aveanna Healthcare Holdings Inc. that is being made available to its stockholders on the Internet, or sent to stockholders upon request, in connection with our Annual Meeting of Stockholders (the “Meeting”) to be held on Friday, May 29, 2026 at 9:30 a.m. Eastern Time at Aveanna Healthcare, 400 Interstate North Parkway SE, Atlanta, GA 30339.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proxy card is also being furnished with this Proxy Statement if you requested printed copies of the proxy materials. </w:t>
      </w:r>
    </w:p>
    <w:p>
      <w:pPr>
        <w:pStyle w:val="TextBody"/>
        <w:bidi w:val="0"/>
        <w:spacing w:before="240" w:after="0"/>
        <w:jc w:val="both"/>
        <w:rPr>
          <w:rFonts w:ascii="Times New Roman" w:hAnsi="Times New Roman"/>
          <w:sz w:val="20"/>
        </w:rPr>
      </w:pPr>
      <w:r>
        <w:rPr>
          <w:rFonts w:ascii="Times New Roman" w:hAnsi="Times New Roman"/>
          <w:sz w:val="20"/>
        </w:rPr>
        <w:t xml:space="preserve">We refer to Aveanna Healthcare Holdings Inc. throughout this Proxy Statement as “we,” “us,” “our,” the “Company” or “Aveanna.”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b/>
              </w:rPr>
            </w:pPr>
            <w:r>
              <w:rPr>
                <w:b/>
              </w:rPr>
              <w:t>Q:</w:t>
            </w:r>
          </w:p>
        </w:tc>
        <w:tc>
          <w:tcPr>
            <w:tcW w:w="9929"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Why did I receive a one-page notice in the mail regarding the Internet availability of proxy materials instead of a full set of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Pursuant to rules adopted by the Securities and Exchange Commission (the “SEC”), the Company uses the Internet as the primary means of furnishing proxy materials to its stockholders. Accordingly, the Company is sending a Notice of Internet Availability of Proxy Materials (the “Notice”) to the Company’s stockholders. All stockholders of record at the close of business on April 6, 2026, the record date for the Meeting (the “Record Date”), will have the ability to access the proxy materials on the website referred to in the Notice or request a printed set of the complete proxy materials. Instructions on how to access the proxy materials over the Internet or to request a printed copy may be found in the Notice. The deadline for requesting a printed copy is May 19, 2026, at 5:00 p.m., Eastern Time. In addition, stockholders may request to receive proxy materials in printed form by mail or electronically by e-mail on an ongoing basis. The Company encourages its stockholders to take advantage of the availability of the proxy materials on the Internet to help reduce the environmental impact of its annual meetings and the cost to the Company associated with the physical printing and mailing of materials. </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290"/>
        <w:gridCol w:w="3185"/>
      </w:tblGrid>
      <w:tr>
        <w:trPr/>
        <w:tc>
          <w:tcPr>
            <w:tcW w:w="290" w:type="dxa"/>
            <w:tcBorders/>
            <w:vAlign w:val="center"/>
          </w:tcPr>
          <w:p>
            <w:pPr>
              <w:pStyle w:val="TableContents"/>
              <w:bidi w:val="0"/>
              <w:spacing w:before="0" w:after="283"/>
              <w:jc w:val="left"/>
              <w:rPr>
                <w:b/>
              </w:rPr>
            </w:pPr>
            <w:r>
              <w:rPr>
                <w:b/>
              </w:rPr>
              <w:t>Q:</w:t>
            </w:r>
          </w:p>
        </w:tc>
        <w:tc>
          <w:tcPr>
            <w:tcW w:w="31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Why am I receiving these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You are receiving this document because you were one of our stockholders of record on the Record Date. We are soliciting your proxy (i.e., your authorization) to vote your shares of Aveanna common stock upon certain matters at the Meeting, as described in this Proxy Statement. We began mailing the Notice on or about April 17, 2026.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290"/>
        <w:gridCol w:w="4010"/>
      </w:tblGrid>
      <w:tr>
        <w:trPr/>
        <w:tc>
          <w:tcPr>
            <w:tcW w:w="290" w:type="dxa"/>
            <w:tcBorders/>
            <w:vAlign w:val="center"/>
          </w:tcPr>
          <w:p>
            <w:pPr>
              <w:pStyle w:val="TableContents"/>
              <w:bidi w:val="0"/>
              <w:spacing w:before="0" w:after="283"/>
              <w:jc w:val="left"/>
              <w:rPr>
                <w:b/>
              </w:rPr>
            </w:pPr>
            <w:r>
              <w:rPr>
                <w:b/>
              </w:rPr>
              <w:t>Q:</w:t>
            </w:r>
          </w:p>
        </w:tc>
        <w:tc>
          <w:tcPr>
            <w:tcW w:w="40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information is available on the Internet?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copy of this Proxy Statement and our 2025 Annual Report to Stockholders is available for download free of charge at www.proxydocs.com/AVAH.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Company website address is www.aveanna.com. We use our website as a channel of distribution for important Company information. Important information, including press releases, investor presentations and financial information regarding our Company is routinely posted on the Investors subpage of our website, which is accessible by clicking on the tab labeled “Investors” section on our website home page. Visitors to our website can also register to receive automatic e-mail and other notifications alerting them when new information is made available on the Investors subpage of our website.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make available free of charge on the Investors subpage of our website (under the link “SEC Filings”) our annual reports on Form 10-K, quarterly reports on Form 10-Q, current reports on Form 8-K, ownership reports on Forms 3, 4 and 5 and any amendments to those reports as soon as practicable after we electronically file such reports with the SEC. Further, our Code of Business Conduct and Ethics, our Audit Committee Complaint Procedures and the charters for the Audit, Compensation, Nominating and Corporate Governance and Clinical Quality Committees of our Board of Directors are also available on the Investors subpage of our website (under the link “Corporate Governance”). </w:t>
      </w:r>
    </w:p>
    <w:p>
      <w:pPr>
        <w:pStyle w:val="TextBody"/>
        <w:bidi w:val="0"/>
        <w:spacing w:before="240" w:after="0"/>
        <w:jc w:val="both"/>
        <w:rPr>
          <w:rFonts w:ascii="Times New Roman" w:hAnsi="Times New Roman"/>
          <w:sz w:val="20"/>
        </w:rPr>
      </w:pPr>
      <w:r>
        <w:rPr>
          <w:rFonts w:ascii="Times New Roman" w:hAnsi="Times New Roman"/>
          <w:sz w:val="20"/>
        </w:rPr>
        <w:t xml:space="preserve">Information contained on, or accessible through, our website is not incorporated by reference into, and does not form a part of, this Proxy Statement.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b/>
              </w:rPr>
            </w:pPr>
            <w:r>
              <w:rPr>
                <w:b/>
              </w:rPr>
              <w:t>Q:</w:t>
            </w:r>
          </w:p>
        </w:tc>
        <w:tc>
          <w:tcPr>
            <w:tcW w:w="26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Who may vote at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A:</w:t>
            </w:r>
          </w:p>
        </w:tc>
        <w:tc>
          <w:tcPr>
            <w:tcW w:w="99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have fixed the close of business on April 6, 2026, as the Record Date for determining who is entitled to vote at the Meeting. As of that date, there were 217,510,046 shares of our common stock, par value $0.01 per share (the “common stock”) outstanding and entitled to be voted at the Meeting. You may cast one vote for each share of common stock held by you on the Record Date on all matters properly presented at the Meeting.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290"/>
        <w:gridCol w:w="4130"/>
      </w:tblGrid>
      <w:tr>
        <w:trPr/>
        <w:tc>
          <w:tcPr>
            <w:tcW w:w="290" w:type="dxa"/>
            <w:tcBorders/>
            <w:vAlign w:val="center"/>
          </w:tcPr>
          <w:p>
            <w:pPr>
              <w:pStyle w:val="TableContents"/>
              <w:bidi w:val="0"/>
              <w:spacing w:before="0" w:after="283"/>
              <w:jc w:val="left"/>
              <w:rPr>
                <w:b/>
              </w:rPr>
            </w:pPr>
            <w:r>
              <w:rPr>
                <w:b/>
              </w:rPr>
              <w:t>Q:</w:t>
            </w:r>
          </w:p>
        </w:tc>
        <w:tc>
          <w:tcPr>
            <w:tcW w:w="413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proposals will be voted on at the Meeting?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275"/>
        <w:gridCol w:w="5885"/>
      </w:tblGrid>
      <w:tr>
        <w:trPr/>
        <w:tc>
          <w:tcPr>
            <w:tcW w:w="275" w:type="dxa"/>
            <w:tcBorders/>
            <w:vAlign w:val="center"/>
          </w:tcPr>
          <w:p>
            <w:pPr>
              <w:pStyle w:val="TableContents"/>
              <w:bidi w:val="0"/>
              <w:spacing w:before="0" w:after="283"/>
              <w:jc w:val="left"/>
              <w:rPr/>
            </w:pPr>
            <w:r>
              <w:rPr/>
              <w:t>A:</w:t>
            </w:r>
          </w:p>
        </w:tc>
        <w:tc>
          <w:tcPr>
            <w:tcW w:w="58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There are three proposals to be considered and voted on at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(1)</w:t>
            </w:r>
          </w:p>
        </w:tc>
        <w:tc>
          <w:tcPr>
            <w:tcW w:w="98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elect the three Class II director nominees identified in this Proxy Statement to the Board of Directors of the Company (the “Board of Directors” or the “Board”), each to serve a three-year term expiring at the 2029 Annual Meeting of the Company’s stockholders (the “2029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(2)</w:t>
            </w:r>
          </w:p>
        </w:tc>
        <w:tc>
          <w:tcPr>
            <w:tcW w:w="98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ratify the appointment of Ernst &amp; Young LLP as the Company’s independent registered public accountants for the fiscal year ending January 2, 2027;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(3)</w:t>
            </w:r>
          </w:p>
        </w:tc>
        <w:tc>
          <w:tcPr>
            <w:tcW w:w="98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on an advisory, non-binding, basis, the compensation paid to our Named Executive Officers identified in this Proxy Statement.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will also consider other business that properly comes before the Meeting in accordance with Delaware law and our Second Amended and Restated Bylaws (our “Amended Bylaws”).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b/>
              </w:rPr>
            </w:pPr>
            <w:r>
              <w:rPr>
                <w:b/>
              </w:rPr>
              <w:t>Q:</w:t>
            </w:r>
          </w:p>
        </w:tc>
        <w:tc>
          <w:tcPr>
            <w:tcW w:w="9944"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are my choices when voting on the election of the three director nominees identified in this Proxy Statement, and what vote is needed to elect directors to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respect to the vote on the election of the three director nominees identified in this Proxy Statement to serve as Class II directors until the 2029 Annual Meeting, stockholders may: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6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in favor of all director nominees;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in favor of specific director nominees (and withhold votes from the other director nominees); or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to withhold authority to vote for all director nominees. </w:t>
            </w:r>
          </w:p>
        </w:tc>
      </w:tr>
    </w:tbl>
    <w:p>
      <w:pPr>
        <w:pStyle w:val="TextBody"/>
        <w:bidi w:val="0"/>
        <w:spacing w:before="240" w:after="0"/>
        <w:jc w:val="both"/>
        <w:rPr>
          <w:rFonts w:ascii="Times New Roman" w:hAnsi="Times New Roman"/>
          <w:sz w:val="20"/>
        </w:rPr>
      </w:pPr>
      <w:r>
        <w:rPr>
          <w:rFonts w:ascii="Times New Roman" w:hAnsi="Times New Roman"/>
          <w:sz w:val="20"/>
        </w:rPr>
        <w:t>Directors are elected by a plurality of the votes cast at the Meeting. As a result, the three directors receiving the highest number of “</w:t>
      </w:r>
      <w:r>
        <w:rPr>
          <w:rFonts w:ascii="Times New Roman" w:hAnsi="Times New Roman"/>
          <w:b/>
          <w:i/>
          <w:sz w:val="20"/>
        </w:rPr>
        <w:t xml:space="preserve">FOR” </w:t>
      </w:r>
      <w:r>
        <w:rPr>
          <w:rFonts w:ascii="Times New Roman" w:hAnsi="Times New Roman"/>
          <w:sz w:val="20"/>
        </w:rPr>
        <w:t xml:space="preserve">votes will be elected as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b/>
              </w:rPr>
            </w:pPr>
            <w:r>
              <w:rPr>
                <w:b/>
              </w:rPr>
              <w:t>Q:</w:t>
            </w:r>
          </w:p>
        </w:tc>
        <w:tc>
          <w:tcPr>
            <w:tcW w:w="9958"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are my choices when voting on the ratification of the appointment of Ernst &amp; Young LLP as the Company’s independent registered public accountants for the fiscal year ending January 2, 2027, and what vote is needed to ratify their appointment?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respect to the vote on the proposal to ratify the appointment of Ernst &amp; Young LLP as the Company’s independent registered public accountants for the fiscal year ending January 2, 2027, stockholders may: </w:t>
            </w:r>
          </w:p>
        </w:tc>
      </w:tr>
    </w:tbl>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75"/>
        <w:gridCol w:w="110"/>
        <w:gridCol w:w="60"/>
        <w:gridCol w:w="2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in favor of the ratification,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75"/>
        <w:gridCol w:w="110"/>
        <w:gridCol w:w="60"/>
        <w:gridCol w:w="2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against the ratification; or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abstain from voting on the ratification.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affirmative vote of a majority of the voting power of the shares represented at the Meeting and entitled to vote on the subject matter is required to approve the proposal to ratify the appointment of Ernst &amp; Young LLP as our independent registered public accountants for the fiscal year ending January 2, 2027.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b/>
              </w:rPr>
            </w:pPr>
            <w:r>
              <w:rPr>
                <w:b/>
              </w:rPr>
              <w:t>Q:</w:t>
            </w:r>
          </w:p>
        </w:tc>
        <w:tc>
          <w:tcPr>
            <w:tcW w:w="9956"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are my choices when voting on the advisory, non-binding, proposal regarding the compensation paid to the Company’s Named Executive Officers (“say-on-pay”), and what vote is needed to approve the advisory say-on-pay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respect to the advisory, non-binding, proposal on the compensation paid to our Named Executive Officers identified in this Proxy Statement, stockholders may: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in favor of the advisory say-on-pay proposal;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vote against the advisory say-on-pay proposal; or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abstain from voting on the advisory say-on-pay proposal.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affirmative vote of a majority of the voting power of the shares represented at the Meeting and entitled to vote is required to approve, on an advisory, non-binding, basis, the say on pay vote. As an advisory vote, this proposal is not binding upon us. However, the Compensation Committee of our Board of Directors, which is responsible for designing and administering our executive compensation program, values the opinions expressed by our stockholders and will consider the outcome of the vote when making future compensation decisions. </w:t>
      </w:r>
    </w:p>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290"/>
        <w:gridCol w:w="5885"/>
      </w:tblGrid>
      <w:tr>
        <w:trPr/>
        <w:tc>
          <w:tcPr>
            <w:tcW w:w="290" w:type="dxa"/>
            <w:tcBorders/>
            <w:vAlign w:val="center"/>
          </w:tcPr>
          <w:p>
            <w:pPr>
              <w:pStyle w:val="TableContents"/>
              <w:bidi w:val="0"/>
              <w:spacing w:before="0" w:after="283"/>
              <w:jc w:val="left"/>
              <w:rPr>
                <w:b/>
              </w:rPr>
            </w:pPr>
            <w:r>
              <w:rPr>
                <w:b/>
              </w:rPr>
              <w:t>Q:</w:t>
            </w:r>
          </w:p>
        </w:tc>
        <w:tc>
          <w:tcPr>
            <w:tcW w:w="58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How does the Company’s Board of Directors recommend that I vote?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275"/>
        <w:gridCol w:w="5270"/>
      </w:tblGrid>
      <w:tr>
        <w:trPr/>
        <w:tc>
          <w:tcPr>
            <w:tcW w:w="275" w:type="dxa"/>
            <w:tcBorders/>
            <w:vAlign w:val="center"/>
          </w:tcPr>
          <w:p>
            <w:pPr>
              <w:pStyle w:val="TableContents"/>
              <w:bidi w:val="0"/>
              <w:spacing w:before="0" w:after="283"/>
              <w:jc w:val="left"/>
              <w:rPr/>
            </w:pPr>
            <w:r>
              <w:rPr/>
              <w:t>A:</w:t>
            </w:r>
          </w:p>
        </w:tc>
        <w:tc>
          <w:tcPr>
            <w:tcW w:w="5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Board of Directors unanimously recommends that you vote: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both"/>
              <w:rPr/>
            </w:pPr>
            <w:r>
              <w:rPr/>
              <w:t>“</w:t>
            </w:r>
            <w:r>
              <w:rPr>
                <w:rFonts w:ascii="Times New Roman" w:hAnsi="Times New Roman"/>
                <w:b/>
                <w:i/>
                <w:sz w:val="20"/>
              </w:rPr>
              <w:t>FOR</w:t>
            </w:r>
            <w:r>
              <w:rPr>
                <w:rFonts w:ascii="Times New Roman" w:hAnsi="Times New Roman"/>
                <w:sz w:val="20"/>
              </w:rPr>
              <w:t xml:space="preserve">” each of the three nominees to our Board of Directors identified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pPr>
            <w:r>
              <w:rPr/>
              <w:t>“</w:t>
            </w:r>
            <w:r>
              <w:rPr>
                <w:rFonts w:ascii="Times New Roman" w:hAnsi="Times New Roman"/>
                <w:b/>
                <w:i/>
                <w:sz w:val="20"/>
              </w:rPr>
              <w:t>FOR</w:t>
            </w:r>
            <w:r>
              <w:rPr>
                <w:rFonts w:ascii="Times New Roman" w:hAnsi="Times New Roman"/>
                <w:sz w:val="20"/>
              </w:rPr>
              <w:t xml:space="preserve">” the ratification of the appointment of Ernst &amp; Young LLP as our independent registered public accountants for the fiscal year ending January 2, 2027; and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both"/>
              <w:rPr/>
            </w:pPr>
            <w:r>
              <w:rPr/>
              <w:t>“</w:t>
            </w:r>
            <w:r>
              <w:rPr>
                <w:rFonts w:ascii="Times New Roman" w:hAnsi="Times New Roman"/>
                <w:b/>
                <w:i/>
                <w:sz w:val="20"/>
              </w:rPr>
              <w:t>FOR</w:t>
            </w:r>
            <w:r>
              <w:rPr>
                <w:rFonts w:ascii="Times New Roman" w:hAnsi="Times New Roman"/>
                <w:sz w:val="20"/>
              </w:rPr>
              <w:t xml:space="preserve">” the advisory, non-binding, proposal regarding the “say on pay”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b/>
              </w:rPr>
            </w:pPr>
            <w:r>
              <w:rPr>
                <w:b/>
              </w:rPr>
              <w:t>Q:</w:t>
            </w:r>
          </w:p>
        </w:tc>
        <w:tc>
          <w:tcPr>
            <w:tcW w:w="245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constitutes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presence at the Meeting in person or by proxy, of the holders of a majority of the voting power of all issued and outstanding shares of our common stock as of the Record Date will constitute a quorum, permitting the conduct of business at the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less than a majority of the outstanding shares of common stock is represented at the Meeting, the chairman of the Meeting or stockholders holding a majority in voting power of the shares of stock of the Company present in person or by proxy and entitled to vote thereat may adjourn the Meeting to another date, time or place. Notice need not be given of the new date, time or place if announced at the Meeting before an adjournment is taken, unless the Board of Directors, after adjournment, fixes a new record date for the Meeting (in which case a notice of the adjourned meeting will be given to stockholders of record on such new record date, each of whom would be entitled to vote at the adjourned meeting). If the adjournment is for more than 30 days, a notice of the adjourned meeting shall be given to each stockholder of record entitled to vote at the adjourned meeting.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290"/>
        <w:gridCol w:w="4355"/>
      </w:tblGrid>
      <w:tr>
        <w:trPr/>
        <w:tc>
          <w:tcPr>
            <w:tcW w:w="290" w:type="dxa"/>
            <w:tcBorders/>
            <w:vAlign w:val="center"/>
          </w:tcPr>
          <w:p>
            <w:pPr>
              <w:pStyle w:val="TableContents"/>
              <w:bidi w:val="0"/>
              <w:spacing w:before="0" w:after="283"/>
              <w:jc w:val="left"/>
              <w:rPr>
                <w:b/>
              </w:rPr>
            </w:pPr>
            <w:r>
              <w:rPr>
                <w:b/>
              </w:rPr>
              <w:t>Q:</w:t>
            </w:r>
          </w:p>
        </w:tc>
        <w:tc>
          <w:tcPr>
            <w:tcW w:w="435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are “broker votes” and “broker non-votes?”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On certain “routine” matters, brokerage firms have discretionary authority under applicable stock exchange rules to vote their customers’ shares in the brokerage firms’ discretion if their customers do not provide voting instructions. When a brokerage firm votes its customers’ shares on a routine matter without receiving voting instructions (referred to as a “broker vote”), these shares are counted both for establishing a quorum to conduct business at the Meeting and in determining the number of shares voted “FOR” or “AGAINST” the routine matter. For purposes of the Meeting, the proposal to ratify the appointment of Ernst &amp; Young LLP as our independent registered public accountants for the fiscal year ending January 2, 2027 is a “routine” matter.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applicable stock exchange rules, all other proposals contained in this Proxy Statement are “non-routine” matters for which brokerage firms do not have discretionary authority to vote their customers’ shares if their customers did not provide voting instructions. </w:t>
      </w:r>
      <w:r>
        <w:rPr>
          <w:rFonts w:ascii="Times New Roman" w:hAnsi="Times New Roman"/>
          <w:b/>
          <w:sz w:val="20"/>
        </w:rPr>
        <w:t>Therefore, for purposes of the Meeting, if you hold your stock through a bank, broker or other nominee and you do not provide your broker or other nominee with voting instructions, then your broker or other nominee may not vote your shares on your behalf on (i)</w:t>
      </w:r>
      <w:r>
        <w:rPr>
          <w:rFonts w:ascii="Times New Roman" w:hAnsi="Times New Roman"/>
          <w:sz w:val="20"/>
        </w:rPr>
        <w:t> </w:t>
      </w:r>
      <w:r>
        <w:rPr>
          <w:rFonts w:ascii="Times New Roman" w:hAnsi="Times New Roman"/>
          <w:b/>
          <w:sz w:val="20"/>
        </w:rPr>
        <w:t>the election of directors or (ii)</w:t>
      </w:r>
      <w:r>
        <w:rPr>
          <w:rFonts w:ascii="Times New Roman" w:hAnsi="Times New Roman"/>
          <w:sz w:val="20"/>
        </w:rPr>
        <w:t> </w:t>
      </w:r>
      <w:r>
        <w:rPr>
          <w:rFonts w:ascii="Times New Roman" w:hAnsi="Times New Roman"/>
          <w:b/>
          <w:sz w:val="20"/>
        </w:rPr>
        <w:t>the advisory, non-binding, “say on pay” vote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Generally, a “broker non-vote” occurs when a broker, bank, or other nominee does not vote the shares because it (i) has not received voting instructions from the beneficial owner and (ii) lacks discretionary voting power to vote those shares with respect to a particular proposal. Broker non-votes are counted for purposes of determining the existence of a quorum at the Meeting, but they will have no effect on the outcome of any proposal. </w:t>
      </w:r>
    </w:p>
    <w:p>
      <w:pPr>
        <w:pStyle w:val="TextBody"/>
        <w:bidi w:val="0"/>
        <w:spacing w:before="240" w:after="0"/>
        <w:jc w:val="both"/>
        <w:rPr>
          <w:rFonts w:ascii="Times New Roman" w:hAnsi="Times New Roman"/>
          <w:sz w:val="20"/>
        </w:rPr>
      </w:pPr>
      <w:r>
        <w:rPr>
          <w:rFonts w:ascii="Times New Roman" w:hAnsi="Times New Roman"/>
          <w:sz w:val="20"/>
        </w:rPr>
        <w:t xml:space="preserve">We encourage you to provide instructions to your brokerage firm, bank or other nominee by voting your proxy. This action ensures your shares will be voted at the Meeting on all matters up for consideration.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290"/>
        <w:gridCol w:w="2645"/>
      </w:tblGrid>
      <w:tr>
        <w:trPr/>
        <w:tc>
          <w:tcPr>
            <w:tcW w:w="290" w:type="dxa"/>
            <w:tcBorders/>
            <w:vAlign w:val="center"/>
          </w:tcPr>
          <w:p>
            <w:pPr>
              <w:pStyle w:val="TableContents"/>
              <w:bidi w:val="0"/>
              <w:spacing w:before="0" w:after="283"/>
              <w:jc w:val="left"/>
              <w:rPr>
                <w:b/>
              </w:rPr>
            </w:pPr>
            <w:r>
              <w:rPr>
                <w:b/>
              </w:rPr>
              <w:t>Q:</w:t>
            </w:r>
          </w:p>
        </w:tc>
        <w:tc>
          <w:tcPr>
            <w:tcW w:w="26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if I abstain from voting?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You have the option to “ABSTAIN” from voting with respect to (i) the ratification of the appointment of Ernst &amp; Young LLP as the Company’s independent registered public accountants for the fiscal year ending January 2, 2027 and (ii) the advisory, non-binding, “say on pay” vote. Abstentions with respect to these proposals are counted for purposes of establishing a quorum. If a quorum is present, abstentions will have the same effect as a vote against these proposals.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b/>
              </w:rPr>
            </w:pPr>
            <w:r>
              <w:rPr>
                <w:b/>
              </w:rPr>
              <w:t>Q:</w:t>
            </w:r>
          </w:p>
        </w:tc>
        <w:tc>
          <w:tcPr>
            <w:tcW w:w="9959"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How will my shares be voted if I return my proxy card or vote via telephone or Internet? What if I return my proxy card but do not provide voting instructions or complete the telephone or Internet voting procedures but do not specify how I want to vote my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Board of Directors has named Rodney D. Windley and Jeff Shaner as official proxy holders. They will vote all proxies, or record an abstention or withholding, in accordance with the directions on the proxy. </w:t>
            </w:r>
          </w:p>
        </w:tc>
      </w:tr>
    </w:tbl>
    <w:p>
      <w:pPr>
        <w:pStyle w:val="TextBody"/>
        <w:bidi w:val="0"/>
        <w:spacing w:before="240" w:after="0"/>
        <w:jc w:val="both"/>
        <w:rPr>
          <w:rFonts w:ascii="Times New Roman" w:hAnsi="Times New Roman"/>
          <w:sz w:val="20"/>
        </w:rPr>
      </w:pPr>
      <w:r>
        <w:rPr>
          <w:rFonts w:ascii="Times New Roman" w:hAnsi="Times New Roman"/>
          <w:sz w:val="20"/>
        </w:rPr>
        <w:t xml:space="preserve">All shares represented by properly executed proxies, unless previously revoked, will be voted at the Meeting as you direct. </w:t>
      </w:r>
    </w:p>
    <w:p>
      <w:pPr>
        <w:pStyle w:val="TextBody"/>
        <w:bidi w:val="0"/>
        <w:spacing w:before="240" w:after="0"/>
        <w:jc w:val="both"/>
        <w:rPr>
          <w:rFonts w:ascii="Times New Roman" w:hAnsi="Times New Roman"/>
          <w:sz w:val="20"/>
        </w:rPr>
      </w:pPr>
      <w:r>
        <w:rPr>
          <w:rFonts w:ascii="Times New Roman" w:hAnsi="Times New Roman"/>
          <w:sz w:val="20"/>
        </w:rPr>
        <w:t>IF YOU SIGN AND RETURN YOUR PROXY CARD BUT GIVE NO DIRECTION OR COMPLETE THE TELEPHONE OR INTERNET VOTING PROCEDURES WITHOUT GIVING VOTING DIRECTION, THE SHARES WILL BE VOTED “</w:t>
      </w:r>
      <w:r>
        <w:rPr>
          <w:rFonts w:ascii="Times New Roman" w:hAnsi="Times New Roman"/>
          <w:b/>
          <w:i/>
          <w:sz w:val="20"/>
        </w:rPr>
        <w:t xml:space="preserve">FOR” </w:t>
      </w:r>
      <w:r>
        <w:rPr>
          <w:rFonts w:ascii="Times New Roman" w:hAnsi="Times New Roman"/>
          <w:sz w:val="20"/>
        </w:rPr>
        <w:t>THE ELECTION OF THE PERSONS NAMED HEREIN AS DIRECTORS; “</w:t>
      </w:r>
      <w:r>
        <w:rPr>
          <w:rFonts w:ascii="Times New Roman" w:hAnsi="Times New Roman"/>
          <w:b/>
          <w:i/>
          <w:sz w:val="20"/>
        </w:rPr>
        <w:t xml:space="preserve">FOR” </w:t>
      </w:r>
      <w:r>
        <w:rPr>
          <w:rFonts w:ascii="Times New Roman" w:hAnsi="Times New Roman"/>
          <w:sz w:val="20"/>
        </w:rPr>
        <w:t>THE RATIFICATION OF THE APPOINTMENT OF ERNST &amp; YOUNG LLP AS OUR INDEPENDENT REGISTERED PUBLIC ACCOUNTANTS FOR THE FISCAL YEAR ENDING JANUARY 2, 2027 AND “</w:t>
      </w:r>
      <w:r>
        <w:rPr>
          <w:rFonts w:ascii="Times New Roman" w:hAnsi="Times New Roman"/>
          <w:b/>
          <w:i/>
          <w:sz w:val="20"/>
        </w:rPr>
        <w:t xml:space="preserve">FOR” </w:t>
      </w:r>
      <w:r>
        <w:rPr>
          <w:rFonts w:ascii="Times New Roman" w:hAnsi="Times New Roman"/>
          <w:sz w:val="20"/>
        </w:rPr>
        <w:t xml:space="preserve">THE ADVISORY, NON-BINDING, “SAY ON PAY” VOTE. </w:t>
      </w:r>
    </w:p>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290"/>
        <w:gridCol w:w="4190"/>
      </w:tblGrid>
      <w:tr>
        <w:trPr/>
        <w:tc>
          <w:tcPr>
            <w:tcW w:w="290" w:type="dxa"/>
            <w:tcBorders/>
            <w:vAlign w:val="center"/>
          </w:tcPr>
          <w:p>
            <w:pPr>
              <w:pStyle w:val="TableContents"/>
              <w:bidi w:val="0"/>
              <w:spacing w:before="0" w:after="283"/>
              <w:jc w:val="left"/>
              <w:rPr>
                <w:b/>
              </w:rPr>
            </w:pPr>
            <w:r>
              <w:rPr>
                <w:b/>
              </w:rPr>
              <w:t>Q:</w:t>
            </w:r>
          </w:p>
        </w:tc>
        <w:tc>
          <w:tcPr>
            <w:tcW w:w="41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How can I attend and participate in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you were a stockholder of record on the Record Date, then you may attend the Meeting by visiting Aveanna Healthcare, 400 Interstate North Parkway SE, Atlanta, GA 30339. To participate in the Meeting, you will need your proxy notice, proxy card, or voting instruction form. The Meeting will begin promptly at 9:30 a.m. Eastern Time on May 29, 2026. Upon arrival at the Meeting, you will be required to register and present government-issued photo identification, such as your driver’s license, state identification card or passport. If your shares are registered in the name of a bank, brokerage firm or other nominee and you plan to attend the Meeting, bring your statement of account showing evidence of ownership as of the Record Date. We will hold our question and answer session with management immediately following the conclusion of the business to be conducted at the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Chairman of the Meeting has broad authority to conduct the Meeting in an orderly manner, including establishing rules of conduct. </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290"/>
        <w:gridCol w:w="6485"/>
      </w:tblGrid>
      <w:tr>
        <w:trPr/>
        <w:tc>
          <w:tcPr>
            <w:tcW w:w="290" w:type="dxa"/>
            <w:tcBorders/>
            <w:vAlign w:val="center"/>
          </w:tcPr>
          <w:p>
            <w:pPr>
              <w:pStyle w:val="TableContents"/>
              <w:bidi w:val="0"/>
              <w:spacing w:before="0" w:after="283"/>
              <w:jc w:val="left"/>
              <w:rPr>
                <w:b/>
              </w:rPr>
            </w:pPr>
            <w:r>
              <w:rPr>
                <w:b/>
              </w:rPr>
              <w:t>Q:</w:t>
            </w:r>
          </w:p>
        </w:tc>
        <w:tc>
          <w:tcPr>
            <w:tcW w:w="64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How do I vote? Is there cumulative voting? Are there any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pPr>
            <w:r>
              <w:rPr/>
              <w:t>A:</w:t>
            </w:r>
          </w:p>
        </w:tc>
        <w:tc>
          <w:tcPr>
            <w:tcW w:w="99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your shares are registered directly in your name with our transfer agent, Equiniti Trust Company, LLC, then you are considered a stockholder of record with respect to those shares. If you are a record holder, the Notice is being sent to you directly by Mediant Communications, Inc., a BetaNXT business. Please carefully consider the information contained in this Proxy Statement. Whether or not you plan to attend the Meeting, please vote by (i) accessing the Internet website specified on the Notice, (ii) calling the toll-free number specified on your proxy card, if you requested printed copies of the proxy materials or (iii) marking, signing and returning your proxy card promptly, if you requested printed copies of the proxy materials, so that we can be assured of having a quorum present at the Meeting and so that your shares may be voted in accordance with your wishes, even if you later decide to attend the Meeting. If you are a stockholder of record, the method you use to vote will not limit your right to vote at the Meeting if you decide to attend in person. Written ballots will be passed out to any stockholder of record who wants to vote in person at the Meeting. If you have already voted previously by telephone or Internet, there is no need to vote again at the Meeting unless you wish to revoke and change your vote. Please follow the directions on your proxy card carefully. To gain admittance to the Meeting to vote in person, you must bring valid photo identification and we will verify your name against our stockholder list.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like most of our stockholders, you hold your shares in street name through a broker, bank or other nominee rather than directly in your own name, then you are considered the beneficial owner of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shares, and the Notice is being forwarded to you by your broker, bank or other nominee, together with voting instructions. To vote in person at the Meeting, beneficial owners will need to contact the broker, bank or other nominee that holds their shares to obtain a “legal proxy” to bring to the Meeting, and, in addition to such “legal proxy,” beneficial owners attending the Meeting in person must bring their statements of account showing evidence of ownership of our common stock as of the Record Date, as well as valid photo identification. </w:t>
      </w:r>
    </w:p>
    <w:p>
      <w:pPr>
        <w:pStyle w:val="TextBody"/>
        <w:bidi w:val="0"/>
        <w:spacing w:before="240" w:after="0"/>
        <w:jc w:val="both"/>
        <w:rPr>
          <w:rFonts w:ascii="Times New Roman" w:hAnsi="Times New Roman"/>
          <w:sz w:val="20"/>
        </w:rPr>
      </w:pPr>
      <w:r>
        <w:rPr>
          <w:rFonts w:ascii="Times New Roman" w:hAnsi="Times New Roman"/>
          <w:sz w:val="20"/>
        </w:rPr>
        <w:t xml:space="preserve">The Notice provides instructions on how to vote via the Internet or by telephone. </w:t>
      </w:r>
    </w:p>
    <w:p>
      <w:pPr>
        <w:pStyle w:val="TextBody"/>
        <w:bidi w:val="0"/>
        <w:spacing w:before="240" w:after="0"/>
        <w:jc w:val="both"/>
        <w:rPr>
          <w:rFonts w:ascii="Times New Roman" w:hAnsi="Times New Roman"/>
          <w:sz w:val="20"/>
        </w:rPr>
      </w:pPr>
      <w:r>
        <w:rPr>
          <w:rFonts w:ascii="Times New Roman" w:hAnsi="Times New Roman"/>
          <w:sz w:val="20"/>
        </w:rPr>
        <w:t xml:space="preserve">If you hold shares in the name of a broker, bank or other nominee you may be able to vote those shares by Internet or telephone depending on the voting procedures used by your broker, bank or other nominee, as explained below under the question “How do I vote if my shares are held in “street name” by a broker, bank or other nominee?” </w:t>
      </w:r>
    </w:p>
    <w:p>
      <w:pPr>
        <w:pStyle w:val="TextBody"/>
        <w:bidi w:val="0"/>
        <w:spacing w:before="240" w:after="0"/>
        <w:jc w:val="both"/>
        <w:rPr>
          <w:rFonts w:ascii="Times New Roman" w:hAnsi="Times New Roman"/>
          <w:sz w:val="20"/>
        </w:rPr>
      </w:pPr>
      <w:r>
        <w:rPr>
          <w:rFonts w:ascii="Times New Roman" w:hAnsi="Times New Roman"/>
          <w:sz w:val="20"/>
        </w:rPr>
        <w:t xml:space="preserve">No cumulative voting rights are authorized, and dissenters’ rights and rights of appraisal are not applicable to the matters being voted upon at the Meeting. </w:t>
      </w:r>
    </w:p>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290"/>
        <w:gridCol w:w="7640"/>
      </w:tblGrid>
      <w:tr>
        <w:trPr/>
        <w:tc>
          <w:tcPr>
            <w:tcW w:w="290" w:type="dxa"/>
            <w:tcBorders/>
            <w:vAlign w:val="center"/>
          </w:tcPr>
          <w:p>
            <w:pPr>
              <w:pStyle w:val="TableContents"/>
              <w:bidi w:val="0"/>
              <w:spacing w:before="0" w:after="283"/>
              <w:jc w:val="left"/>
              <w:rPr>
                <w:b/>
              </w:rPr>
            </w:pPr>
            <w:r>
              <w:rPr>
                <w:b/>
              </w:rPr>
              <w:t>Q:</w:t>
            </w:r>
          </w:p>
        </w:tc>
        <w:tc>
          <w:tcPr>
            <w:tcW w:w="76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How do I vote if my shares are held in “street name” by a broker, bank or other nominee?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your shares are held by a broker, bank or other nominee (i.e., held in “street name”), then your broker, bank or other nominee will send you instructions for voting those shares.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290"/>
        <w:gridCol w:w="4925"/>
      </w:tblGrid>
      <w:tr>
        <w:trPr/>
        <w:tc>
          <w:tcPr>
            <w:tcW w:w="290" w:type="dxa"/>
            <w:tcBorders/>
            <w:vAlign w:val="center"/>
          </w:tcPr>
          <w:p>
            <w:pPr>
              <w:pStyle w:val="TableContents"/>
              <w:bidi w:val="0"/>
              <w:spacing w:before="0" w:after="283"/>
              <w:jc w:val="left"/>
              <w:rPr>
                <w:b/>
              </w:rPr>
            </w:pPr>
            <w:r>
              <w:rPr>
                <w:b/>
              </w:rPr>
              <w:t>Q:</w:t>
            </w:r>
          </w:p>
        </w:tc>
        <w:tc>
          <w:tcPr>
            <w:tcW w:w="492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May I revoke my proxy after I have delivered my proxy?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pPr>
            <w:r>
              <w:rPr/>
              <w:t>A:</w:t>
            </w:r>
          </w:p>
        </w:tc>
        <w:tc>
          <w:tcPr>
            <w:tcW w:w="998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You may change your vote or revoke your proxy at any time before the vote at the Meeting. If you are a stockholder of record, you may change your vote prior to the Meeting by executing a valid proxy card bearing a later date and delivering it to us prior to the Meeting at Aveanna Healthcare Holdings Inc., Attention: Secretary, 400 Interstate North Parkway SE, Atlanta, GA 30339. Only your latest dated proxy we receive at or prior to the Meeting will be counted. You may also revoke your proxy and change your vote at any time before the final vote at the Meeting by voting again via the Internet or by telephone. Attendance in person at the Meeting will not by itself revoke a previously granted proxy. If your shares are held in “street name” by a broker, bank or other nominee, you must follow your broker, bank or other nominee’s procedures for revoking or changing your vote, or obtain a proxy to vote your shares if you wish to cast your vote in person at the Meeting.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290"/>
        <w:gridCol w:w="2315"/>
      </w:tblGrid>
      <w:tr>
        <w:trPr/>
        <w:tc>
          <w:tcPr>
            <w:tcW w:w="290" w:type="dxa"/>
            <w:tcBorders/>
            <w:vAlign w:val="center"/>
          </w:tcPr>
          <w:p>
            <w:pPr>
              <w:pStyle w:val="TableContents"/>
              <w:bidi w:val="0"/>
              <w:spacing w:before="0" w:after="283"/>
              <w:jc w:val="left"/>
              <w:rPr>
                <w:b/>
              </w:rPr>
            </w:pPr>
            <w:r>
              <w:rPr>
                <w:b/>
              </w:rPr>
              <w:t>Q:</w:t>
            </w:r>
          </w:p>
        </w:tc>
        <w:tc>
          <w:tcPr>
            <w:tcW w:w="231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Who is soliciting my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Board of Directors is soliciting your vote for the proposals described in this Proxy Statement, which will be submitted for stockholder approval at the Meeting.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290"/>
        <w:gridCol w:w="5000"/>
      </w:tblGrid>
      <w:tr>
        <w:trPr/>
        <w:tc>
          <w:tcPr>
            <w:tcW w:w="290" w:type="dxa"/>
            <w:tcBorders/>
            <w:vAlign w:val="center"/>
          </w:tcPr>
          <w:p>
            <w:pPr>
              <w:pStyle w:val="TableContents"/>
              <w:bidi w:val="0"/>
              <w:spacing w:before="0" w:after="283"/>
              <w:jc w:val="left"/>
              <w:rPr>
                <w:b/>
              </w:rPr>
            </w:pPr>
            <w:r>
              <w:rPr>
                <w:b/>
              </w:rPr>
              <w:t>Q:</w:t>
            </w:r>
          </w:p>
        </w:tc>
        <w:tc>
          <w:tcPr>
            <w:tcW w:w="500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Who will bear the cost for soliciting votes for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Pr>
            <w:r>
              <w:rPr/>
              <w:t>A:</w:t>
            </w:r>
          </w:p>
        </w:tc>
        <w:tc>
          <w:tcPr>
            <w:tcW w:w="997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Company is making this solicitation and will bear the cost of this proxy solicitation. In addition to the use of mail, our directors, officers and non-officer employees may solicit proxies in person, by telephone or by other means. These persons will not be compensated for the solicitation but may be reimbursed for out-of-pocket expenses. We have also made arrangements with brokerage firms and other custodians, nominees and fiduciaries to forward this material to the beneficial owners of our common stock, and we will reimburse them for their reasonable out-of-pocket expenses.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90"/>
        <w:gridCol w:w="2240"/>
      </w:tblGrid>
      <w:tr>
        <w:trPr/>
        <w:tc>
          <w:tcPr>
            <w:tcW w:w="290" w:type="dxa"/>
            <w:tcBorders/>
            <w:vAlign w:val="center"/>
          </w:tcPr>
          <w:p>
            <w:pPr>
              <w:pStyle w:val="TableContents"/>
              <w:bidi w:val="0"/>
              <w:spacing w:before="0" w:after="283"/>
              <w:jc w:val="left"/>
              <w:rPr>
                <w:b/>
              </w:rPr>
            </w:pPr>
            <w:r>
              <w:rPr>
                <w:b/>
              </w:rPr>
              <w:t>Q:</w:t>
            </w:r>
          </w:p>
        </w:tc>
        <w:tc>
          <w:tcPr>
            <w:tcW w:w="22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Who will count the votes?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have hired a third party, Mediant Communications, Inc., a BetaNXT business, to be the inspector of voting, be responsible for determining whether or not a quorum is present and tabulate votes cast by proxy at the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b/>
              </w:rPr>
            </w:pPr>
            <w:r>
              <w:rPr>
                <w:b/>
              </w:rPr>
              <w:t>Q:</w:t>
            </w:r>
          </w:p>
        </w:tc>
        <w:tc>
          <w:tcPr>
            <w:tcW w:w="402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Where can I find voting results of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will announce preliminary voting results at the Meeting and publish final results in a Current Report on Form 8-K that we expect to file with the SEC within four business days after the Meeting (a copy of which will be available on the “Investors” subpage of our website, www.aveanna.com, under the link “SEC Filings”). If our final voting results are not available within four business days after the Meeting, then we will file a Current Report on Form 8-K reporting the preliminary voting results and subsequently file the final voting results in an amendment to the Current Report on Form 8-K within four business days after the final voting results are known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Q:</w:t>
            </w:r>
          </w:p>
        </w:tc>
        <w:tc>
          <w:tcPr>
            <w:tcW w:w="9924"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May I propose actions for consideration at the next Annual Meeting of Stockholders or nominate individuals to serve as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1"/>
        <w:gridCol w:w="9374"/>
      </w:tblGrid>
      <w:tr>
        <w:trPr/>
        <w:tc>
          <w:tcPr>
            <w:tcW w:w="831" w:type="dxa"/>
            <w:tcBorders/>
            <w:vAlign w:val="center"/>
          </w:tcPr>
          <w:p>
            <w:pPr>
              <w:pStyle w:val="TableContents"/>
              <w:bidi w:val="0"/>
              <w:spacing w:before="0" w:after="283"/>
              <w:jc w:val="left"/>
              <w:rPr/>
            </w:pPr>
            <w:r>
              <w:rPr/>
              <w:t>A: You</w:t>
            </w:r>
          </w:p>
        </w:tc>
        <w:tc>
          <w:tcPr>
            <w:tcW w:w="937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may submit proposals for consideration at future stockholder meetings, including director nominations. Please see “Other Matters”, set forth elsewhere in this Proxy Statement, for more details.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290"/>
        <w:gridCol w:w="4925"/>
      </w:tblGrid>
      <w:tr>
        <w:trPr/>
        <w:tc>
          <w:tcPr>
            <w:tcW w:w="290" w:type="dxa"/>
            <w:tcBorders/>
            <w:vAlign w:val="center"/>
          </w:tcPr>
          <w:p>
            <w:pPr>
              <w:pStyle w:val="TableContents"/>
              <w:bidi w:val="0"/>
              <w:spacing w:before="0" w:after="283"/>
              <w:jc w:val="left"/>
              <w:rPr>
                <w:b/>
              </w:rPr>
            </w:pPr>
            <w:r>
              <w:rPr>
                <w:b/>
              </w:rPr>
              <w:t>Q:</w:t>
            </w:r>
          </w:p>
        </w:tc>
        <w:tc>
          <w:tcPr>
            <w:tcW w:w="492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Whom should I contact with questions about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you have any questions about this Proxy Statement or the Meeting, please contact Jerry Perchik, our Chief Legal Officer and Secretary, at 400 Interstate North Parkway SE, Suite 1600, Atlanta, GA 30339 or by telephone at (770) 441-1580.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290"/>
        <w:gridCol w:w="3350"/>
      </w:tblGrid>
      <w:tr>
        <w:trPr/>
        <w:tc>
          <w:tcPr>
            <w:tcW w:w="290" w:type="dxa"/>
            <w:tcBorders/>
            <w:vAlign w:val="center"/>
          </w:tcPr>
          <w:p>
            <w:pPr>
              <w:pStyle w:val="TableContents"/>
              <w:bidi w:val="0"/>
              <w:spacing w:before="0" w:after="283"/>
              <w:jc w:val="left"/>
              <w:rPr>
                <w:b/>
              </w:rPr>
            </w:pPr>
            <w:r>
              <w:rPr>
                <w:b/>
              </w:rPr>
              <w:t>Q:</w:t>
            </w:r>
          </w:p>
        </w:tc>
        <w:tc>
          <w:tcPr>
            <w:tcW w:w="335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What if I have more than one account?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Please vote proxies for all accounts to ensure that all your shares are voted. You may consolidate multiple accounts through our transfer agent, Equiniti Trust Company, LLC, online at https://equiniti.com/us/ contact-us/, or by calling (800) 468-9716.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290"/>
        <w:gridCol w:w="5945"/>
      </w:tblGrid>
      <w:tr>
        <w:trPr/>
        <w:tc>
          <w:tcPr>
            <w:tcW w:w="290" w:type="dxa"/>
            <w:tcBorders/>
            <w:vAlign w:val="center"/>
          </w:tcPr>
          <w:p>
            <w:pPr>
              <w:pStyle w:val="TableContents"/>
              <w:bidi w:val="0"/>
              <w:spacing w:before="0" w:after="283"/>
              <w:jc w:val="left"/>
              <w:rPr>
                <w:b/>
              </w:rPr>
            </w:pPr>
            <w:r>
              <w:rPr>
                <w:b/>
              </w:rPr>
              <w:t>Q:</w:t>
            </w:r>
          </w:p>
        </w:tc>
        <w:tc>
          <w:tcPr>
            <w:tcW w:w="59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 xml:space="preserve">Will a list of stockholders entitled to vote at the Meeting be available?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A:</w:t>
            </w:r>
          </w:p>
        </w:tc>
        <w:tc>
          <w:tcPr>
            <w:tcW w:w="996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accordance with Delaware law and our Amended Bylaws, a list of stockholders entitled to vote at the Meeting will be available at our corporate headquarters in Atlanta, Georgia on May 19, 2026, and will be accessible for ten days prior to the Meeting between the hours of 9:00 a.m. and 5:00 p.m.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798829_2"/>
      <w:bookmarkEnd w:id="4"/>
      <w:r>
        <w:rPr>
          <w:rFonts w:ascii="Times New Roman" w:hAnsi="Times New Roman"/>
          <w:b/>
          <w:sz w:val="20"/>
        </w:rPr>
        <w:t xml:space="preserve">DIRECTORS AND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Our Charter provides that our Board is separated into three classes designated as Class I, Class II and Class III, that each class consists, as nearly as possible, of one third of the total number of such directors and that each class serves for staggered terms of three years as follows: Class I directors whose terms expire in 2028; Class II directors whose terms expire in 2026; and Class III directors whose terms expire in 2027. The exact number of directors shall be fixed from time to time by resolution of the Board in accordance with our governing documents and the A&amp;R Stockholders Agreement (as defined below). There is no cumulative voting with respect to the election of directors, with the result that the holders of more than 50% of the shares voted for the election of directors can elect all of the directors. Three directors are being elected to Class II at the Meeting to serve for a three-year term expiring at our 2029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The names of our executive officers, directors and director nominees and their respective ages, positions, biographies and, in the case of directors, their qualifications to serve as directors, are set forth below. </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2990"/>
        <w:gridCol w:w="120"/>
        <w:gridCol w:w="575"/>
        <w:gridCol w:w="120"/>
        <w:gridCol w:w="4850"/>
      </w:tblGrid>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0"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Name</w:t>
            </w:r>
          </w:p>
        </w:tc>
        <w:tc>
          <w:tcPr>
            <w:tcW w:w="12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pPr>
            <w:r>
              <w:rPr/>
              <w:t> </w:t>
            </w:r>
            <w:r>
              <w:rPr>
                <w:rFonts w:ascii="Times New Roman" w:hAnsi="Times New Roman"/>
                <w:b/>
                <w:sz w:val="20"/>
              </w:rPr>
              <w:t>Age </w:t>
            </w:r>
          </w:p>
        </w:tc>
        <w:tc>
          <w:tcPr>
            <w:tcW w:w="120" w:type="dxa"/>
            <w:tcBorders/>
            <w:vAlign w:val="center"/>
          </w:tcPr>
          <w:p>
            <w:pPr>
              <w:pStyle w:val="TableContents"/>
              <w:bidi w:val="0"/>
              <w:spacing w:before="0" w:after="283"/>
              <w:jc w:val="left"/>
              <w:rPr/>
            </w:pPr>
            <w:r>
              <w:rPr/>
              <w:t>  </w:t>
            </w:r>
          </w:p>
        </w:tc>
        <w:tc>
          <w:tcPr>
            <w:tcW w:w="48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Position</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Jeff Shaner</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53</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President and Chief Executive Officer and Class III Director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Matthew Buckhalter</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37</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Financial Officer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Ed Reisz</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67</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Administrative Officer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Jerry Perchik</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68</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Legal Officer and Secretary</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Deborah Stewart</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42</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Accounting Officer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Patrick Cunningham</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70</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Compliance Officer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Victor F. Ganzi</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79</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Class I Director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Devin O’Reilly</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51</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Class I Director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Erica G. Schwartz, M.D., J.D., M.P.H.</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54</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Class III Director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Brent Layton</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58</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Class III Director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Director Nominees</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Rodney D. Windley</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78</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Chairman (Class II Director)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Sam Weil</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35</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Class II Director</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970"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Steven E. Rodgers</w:t>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54</w:t>
            </w:r>
          </w:p>
        </w:tc>
        <w:tc>
          <w:tcPr>
            <w:tcW w:w="12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Class II Director</w:t>
            </w:r>
          </w:p>
        </w:tc>
      </w:tr>
    </w:tbl>
    <w:p>
      <w:pPr>
        <w:pStyle w:val="TextBody"/>
        <w:bidi w:val="0"/>
        <w:spacing w:before="240" w:after="0"/>
        <w:jc w:val="both"/>
        <w:rPr>
          <w:rFonts w:ascii="Times New Roman" w:hAnsi="Times New Roman"/>
          <w:sz w:val="20"/>
        </w:rPr>
      </w:pPr>
      <w:r>
        <w:rPr>
          <w:rFonts w:ascii="Times New Roman" w:hAnsi="Times New Roman"/>
          <w:b/>
          <w:i/>
          <w:sz w:val="20"/>
        </w:rPr>
        <w:t xml:space="preserve">Jeff Shaner, </w:t>
      </w:r>
      <w:r>
        <w:rPr>
          <w:rFonts w:ascii="Times New Roman" w:hAnsi="Times New Roman"/>
          <w:sz w:val="20"/>
        </w:rPr>
        <w:t xml:space="preserve">President and Chief Executive Officer and Class III Director, joined Aveanna in 2017 upon its formation and served as the Company’s Chief Operations Officer until his appointment as CEO on January 1, 2023. Prior to Aveanna, Mr. Shaner was Chief Operating Officer of PSA since October 2015. Mr. Shaner began his healthcare business career in 2000, leading the operations at Total Care Inc. Mr. Shaner joined Healthfield following its acquisition of Total Care Inc. and was later appointed to lead its home health division. Mr. Shaner served as President of Operations of Gentiva from August 2010 until February 2015 and as Operating Partner for Linden Capital/Blue Wolf Capital, a private equity firm, from February 2015 to October 2015. Mr. Shaner received his Bachelor of Arts degree in business finance and economics from the University of Pittsburgh. Mr. Shaner’s qualifications to serve on our Board of Directors include over 20 years of experience in the home health industry in various operating, financial and sales roles. </w:t>
      </w:r>
    </w:p>
    <w:p>
      <w:pPr>
        <w:pStyle w:val="TextBody"/>
        <w:bidi w:val="0"/>
        <w:spacing w:before="240" w:after="0"/>
        <w:jc w:val="both"/>
        <w:rPr>
          <w:rFonts w:ascii="Times New Roman" w:hAnsi="Times New Roman"/>
          <w:sz w:val="20"/>
        </w:rPr>
      </w:pPr>
      <w:r>
        <w:rPr>
          <w:rFonts w:ascii="Times New Roman" w:hAnsi="Times New Roman"/>
          <w:b/>
          <w:i/>
          <w:sz w:val="20"/>
        </w:rPr>
        <w:t xml:space="preserve">Matthew Buckhalter, </w:t>
      </w:r>
      <w:r>
        <w:rPr>
          <w:rFonts w:ascii="Times New Roman" w:hAnsi="Times New Roman"/>
          <w:sz w:val="20"/>
        </w:rPr>
        <w:t xml:space="preserve">Chief Financial Officer, joined Aveanna in 2017 upon its formation. Prior to being appointed as Chief Financial Officer, effective January 1, 2024, Mr. Buckhalter had, since July 2023, served as Interim Chief Financial Officer, and previously served as Aveanna’s Senior Vice President of Finance and led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Company’s Investor Relations Group. Moreover, Mr. Buckhalter previously served as Aveanna’s Vice President for Financial Planning and Analysis. Prior to Aveanna, Mr. Buckhalter was Vice President of Finance for RT Capital and served as a Senior Financial Analyst for Gentiva Health Services from 2012 to 2015. Mr. Buckhalter received his Bachelor of Arts degree in finance from Florida State University. </w:t>
      </w:r>
    </w:p>
    <w:p>
      <w:pPr>
        <w:pStyle w:val="TextBody"/>
        <w:bidi w:val="0"/>
        <w:spacing w:before="240" w:after="0"/>
        <w:jc w:val="both"/>
        <w:rPr>
          <w:rFonts w:ascii="Times New Roman" w:hAnsi="Times New Roman"/>
          <w:sz w:val="20"/>
        </w:rPr>
      </w:pPr>
      <w:r>
        <w:rPr>
          <w:rFonts w:ascii="Times New Roman" w:hAnsi="Times New Roman"/>
          <w:b/>
          <w:i/>
          <w:sz w:val="20"/>
        </w:rPr>
        <w:t xml:space="preserve">Ed Reisz, </w:t>
      </w:r>
      <w:r>
        <w:rPr>
          <w:rFonts w:ascii="Times New Roman" w:hAnsi="Times New Roman"/>
          <w:sz w:val="20"/>
        </w:rPr>
        <w:t xml:space="preserve">Chief Administrative Officer, joined Aveanna in 2017 upon its formation. Prior to joining Aveanna, Mr. Reisz served as Executive Vice President and Chief Human Resources Officer for PSA from 2015 to 2017. Before joining PSA, Mr. Reisz served as the Senior Vice President and Chief Human Resources Officer for Gentiva. Mr. Reisz began his career in the financial industry and is the founder of Bridgewater Consulting, a regional consulting firm focusing on the home care industry. </w:t>
      </w:r>
    </w:p>
    <w:p>
      <w:pPr>
        <w:pStyle w:val="TextBody"/>
        <w:bidi w:val="0"/>
        <w:spacing w:before="240" w:after="0"/>
        <w:jc w:val="both"/>
        <w:rPr>
          <w:rFonts w:ascii="Times New Roman" w:hAnsi="Times New Roman"/>
          <w:sz w:val="20"/>
        </w:rPr>
      </w:pPr>
      <w:r>
        <w:rPr>
          <w:rFonts w:ascii="Times New Roman" w:hAnsi="Times New Roman"/>
          <w:b/>
          <w:i/>
          <w:sz w:val="20"/>
        </w:rPr>
        <w:t>Jerry Perchik</w:t>
      </w:r>
      <w:r>
        <w:rPr>
          <w:rFonts w:ascii="Times New Roman" w:hAnsi="Times New Roman"/>
          <w:sz w:val="20"/>
        </w:rPr>
        <w:t xml:space="preserve">, Chief Legal Officer and Secretary, joined Aveanna in April 2024. Prior to joining Aveanna, Mr. Perchik served as Chief Legal Officer for MedQuest Associates from August 2023 to May 2024, as Chief Legal Officer of CRH Healthcare, LLC from March 2021 to August 2023 and General Counsel and Corporate Secretary of Benevis Dental Practice Management Services from March 2015 to March 2021. He has also previously served in various corporate leadership roles and in a legal capacity for both publicly traded and private equity sponsored healthcare companies. Mr. Perchik received his Bachelor of Science degree in accounting from the University of Kentucky and his Juris Doctor from the Louis D. Brandeis School of Law at the University of Louisville. </w:t>
      </w:r>
    </w:p>
    <w:p>
      <w:pPr>
        <w:pStyle w:val="TextBody"/>
        <w:bidi w:val="0"/>
        <w:spacing w:before="240" w:after="0"/>
        <w:jc w:val="both"/>
        <w:rPr>
          <w:rFonts w:ascii="Times New Roman" w:hAnsi="Times New Roman"/>
          <w:sz w:val="20"/>
        </w:rPr>
      </w:pPr>
      <w:r>
        <w:rPr>
          <w:rFonts w:ascii="Times New Roman" w:hAnsi="Times New Roman"/>
          <w:b/>
          <w:i/>
          <w:sz w:val="20"/>
        </w:rPr>
        <w:t xml:space="preserve">Deborah Stewart, </w:t>
      </w:r>
      <w:r>
        <w:rPr>
          <w:rFonts w:ascii="Times New Roman" w:hAnsi="Times New Roman"/>
          <w:sz w:val="20"/>
        </w:rPr>
        <w:t xml:space="preserve">Chief Accounting Officer, joined Aveanna in September 2021 as Aveanna’s Vice President and Chief Accounting Officer. Prior to joining Aveanna, Ms. Stewart was an assurance professional with Ernst &amp; Young LLP from 2007 to 2021, most recently as a senior manager. Ms. Stewart received her Bachelor of Science degree in accounting and Masters of Accounting from North Carolina State University. </w:t>
      </w:r>
    </w:p>
    <w:p>
      <w:pPr>
        <w:pStyle w:val="TextBody"/>
        <w:bidi w:val="0"/>
        <w:spacing w:before="240" w:after="0"/>
        <w:jc w:val="both"/>
        <w:rPr>
          <w:rFonts w:ascii="Times New Roman" w:hAnsi="Times New Roman"/>
          <w:sz w:val="20"/>
        </w:rPr>
      </w:pPr>
      <w:r>
        <w:rPr>
          <w:rFonts w:ascii="Times New Roman" w:hAnsi="Times New Roman"/>
          <w:b/>
          <w:i/>
          <w:sz w:val="20"/>
        </w:rPr>
        <w:t xml:space="preserve">Patrick Cunningham, </w:t>
      </w:r>
      <w:r>
        <w:rPr>
          <w:rFonts w:ascii="Times New Roman" w:hAnsi="Times New Roman"/>
          <w:sz w:val="20"/>
        </w:rPr>
        <w:t xml:space="preserve">Chief Compliance Officer, joined Aveanna in 2017 upon its formation. Prior to joining Aveanna, Mr. Cunningham served as Vice President and Chief Compliance Officer of PSA from 2013 to 2017 and as Vice President of the hospice division of Gentiva from 2004 to 2013. Before that, Mr. Cunningham led a behavioral health homecare program in Connecticut that provided therapeutic and preventive healthcare services. Mr. Cunningham is a registered psychiatric nurse and a state registered nurse. He received his Bachelor of Arts degree in health administration from the Institute of Public Administration in Dublin, Ireland and his Master of Science in nursing from Yale University. </w:t>
      </w:r>
    </w:p>
    <w:p>
      <w:pPr>
        <w:pStyle w:val="TextBody"/>
        <w:bidi w:val="0"/>
        <w:spacing w:before="240" w:after="0"/>
        <w:jc w:val="both"/>
        <w:rPr>
          <w:rFonts w:ascii="Times New Roman" w:hAnsi="Times New Roman"/>
          <w:sz w:val="20"/>
        </w:rPr>
      </w:pPr>
      <w:r>
        <w:rPr>
          <w:rFonts w:ascii="Times New Roman" w:hAnsi="Times New Roman"/>
          <w:b/>
          <w:i/>
          <w:sz w:val="20"/>
        </w:rPr>
        <w:t xml:space="preserve">Victor F. Ganzi, </w:t>
      </w:r>
      <w:r>
        <w:rPr>
          <w:rFonts w:ascii="Times New Roman" w:hAnsi="Times New Roman"/>
          <w:sz w:val="20"/>
        </w:rPr>
        <w:t xml:space="preserve">Class I Director, has served on our Board of Directors since 2017 upon our formation. Prior to that, Mr. Ganzi served as the Lead Director for Gentiva Health Services from 2009 to 2015, as a Director of PSA from 2016 to 2017 and as President and Chief Executive Officer of The Hearst Corporation from 2002 to 2008. Prior to joining The Hearst Corporation, Mr. Ganzi was the Managing Partner at Rogers &amp; Wells, now a part of Clifford Chance, an international law firm. Before joining Rogers &amp; Wells, Mr. Ganzi was a certified public accountant, specializing in taxation, at a Big Four accounting firm. Mr. Ganzi has served on the board, and as Chairman, of Willis Towers Watson, a global advisory, broking and solutions company, as well as a director for companies such as Wyeth, ESPN, Hearst—Argyle Television, Gentiva Health Services, Inc., Angion Biomedica and Foster + Partners. Mr. Ganzi currently serves on the board of the Whitney Museum of American Art and is currently Chairman Emeritus of the board of PGA TOUR, Inc., having served as a director on its board for 35 years. Mr. Ganzi graduated summa cum laude from Fordham University with a Bachelor of Science degree in accounting, received a Juris Doctor degree from Harvard Law School and holds an LL.M. in taxation from New York University. Mr. Ganzi’s qualifications to serve on our Board of Directors include chairing and serving on more than 25 public, private and nonprofit boards over the course of his career and his extensive legal, accounting and business management education and experience. </w:t>
      </w:r>
    </w:p>
    <w:p>
      <w:pPr>
        <w:pStyle w:val="TextBody"/>
        <w:bidi w:val="0"/>
        <w:spacing w:before="240" w:after="0"/>
        <w:jc w:val="both"/>
        <w:rPr>
          <w:rFonts w:ascii="Times New Roman" w:hAnsi="Times New Roman"/>
          <w:sz w:val="20"/>
        </w:rPr>
      </w:pPr>
      <w:r>
        <w:rPr>
          <w:rFonts w:ascii="Times New Roman" w:hAnsi="Times New Roman"/>
          <w:b/>
          <w:i/>
          <w:sz w:val="20"/>
        </w:rPr>
        <w:t>Devin O’Reilly</w:t>
      </w:r>
      <w:r>
        <w:rPr>
          <w:rFonts w:ascii="Times New Roman" w:hAnsi="Times New Roman"/>
          <w:sz w:val="20"/>
        </w:rPr>
        <w:t xml:space="preserve">, Class I Director, has served on our Board of Directors since 2017. Mr. O’Reilly has been a partner of Bain Capital Private Equity since 2013 and is the Global Head of Healthcare based in Boston. Mr. O’Reilly previously spent five years in Bain Capital’s London office, where he led the European private equity healthcare team. Prior to joining Bain Capital in 2005, Mr. O’Reilly was a consultant at Bain &amp;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where he consulted for private equity and healthcare industry clients. Mr. O’Reilly serves on the board of directors of several Bain Capital portfolio companies, including Surgery Partners, Inc. (Nasdaq: SGRY), athenahealth, HealthEdge, LeanTaaS, PartsSource, PCI, and Zelis. Mr. O’Reilly received his Bachelor of Arts degree from Princeton University and his Master of Business Administration degree from The Wharton School. Mr. O’Reilly’s qualifications to serve on our Board of Directors include his extensive experience in the healthcare and private equity industries, his business training and education, and his experience serving on multiple boards over the course of his career. </w:t>
      </w:r>
    </w:p>
    <w:p>
      <w:pPr>
        <w:pStyle w:val="TextBody"/>
        <w:bidi w:val="0"/>
        <w:spacing w:before="240" w:after="0"/>
        <w:jc w:val="both"/>
        <w:rPr>
          <w:rFonts w:ascii="Times New Roman" w:hAnsi="Times New Roman"/>
          <w:sz w:val="20"/>
        </w:rPr>
      </w:pPr>
      <w:r>
        <w:rPr>
          <w:rFonts w:ascii="Times New Roman" w:hAnsi="Times New Roman"/>
          <w:b/>
          <w:i/>
          <w:sz w:val="20"/>
        </w:rPr>
        <w:t>Erica G. Schwartz, M.D., J.D., M.P.H.</w:t>
      </w:r>
      <w:r>
        <w:rPr>
          <w:rFonts w:ascii="Times New Roman" w:hAnsi="Times New Roman"/>
          <w:b/>
          <w:sz w:val="20"/>
        </w:rPr>
        <w:t xml:space="preserve">, </w:t>
      </w:r>
      <w:r>
        <w:rPr>
          <w:rFonts w:ascii="Times New Roman" w:hAnsi="Times New Roman"/>
          <w:sz w:val="20"/>
        </w:rPr>
        <w:t xml:space="preserve">Class III Director, has served on our Board of Directors since 2021. Dr. Schwartz has served as President of Insurance Solutions for United Healthcare, based in Minnetonka, Minnesota, since 2021. Prior to that, she was most recently the Deputy Surgeon General for the Department of Health and Human Services, in which role she led the United States’ public health deployment in response to the COVID-19 pandemic. Dr. Schwartz spent 24 years in uniformed service, during which time she was promoted through the ranks to Rear Admiral of the U.S. Coast Guard, where she served as the Chief Medical Officer and Director of Health, Safety, and Work Life from 2015 to 2019. Previously, Dr. Schwartz served as the U.S. Coast Guard’s Chief of Health Services from 2013 to 2015 and Preventive Medicine Chief from 2005 to 2013. Dr. Schwartz is trained and board certified in Preventive Medicine. She received a bachelor’s degree in biomedical engineering from Brown University, an M.D. from Brown University School of Medicine, a Master of Public Health degree with a dual concentration in health services administration and occupational and environmental medicine from the Uniformed Services University of the Health Sciences, and a J.D. from the University of Maryland School of Law. She is licensed to practice medicine in Virginia and Florida and is also licensed to practice law in D.C. and Florida. Dr. Schwartz also currently serves as an independent director for Butterfly Network, a digital health company developing and implementing point-of-care ultrasound technology. Dr. Schwartz’s qualifications to serve on our Board of Directors include her extensive experience in healthcare and government service, her training and education, and her experience serving on other boards. </w:t>
      </w:r>
    </w:p>
    <w:p>
      <w:pPr>
        <w:pStyle w:val="TextBody"/>
        <w:bidi w:val="0"/>
        <w:spacing w:before="240" w:after="0"/>
        <w:jc w:val="both"/>
        <w:rPr>
          <w:rFonts w:ascii="Times New Roman" w:hAnsi="Times New Roman"/>
          <w:sz w:val="20"/>
        </w:rPr>
      </w:pPr>
      <w:r>
        <w:rPr>
          <w:rFonts w:ascii="Times New Roman" w:hAnsi="Times New Roman"/>
          <w:b/>
          <w:i/>
          <w:sz w:val="20"/>
        </w:rPr>
        <w:t>Brent Layton</w:t>
      </w:r>
      <w:r>
        <w:rPr>
          <w:rFonts w:ascii="Times New Roman" w:hAnsi="Times New Roman"/>
          <w:sz w:val="20"/>
        </w:rPr>
        <w:t xml:space="preserve">, Class III Director, has served on our Board of Directors since November 2024. Mr. Layton previously served as Chief Executive Officer of Sharecare from January 2024 to January 2025 and currently serves as a member of their board of directors. Mr. Layton has also served as a board member of the Georgia Department of Natural Resources since February 2024. Additionally, Mr. Layton serves as Chief Strategy Officer and Sales Officer for Healthy Together, a healthcare IT company. Prior to that, Mr. Layton served in various roles with Centene Corporation from 2006 through December 2023, most recently serving as its President and Chief Operating Officer from September 2021 to December 2023, prior to which he had also served as Chief Business Development Officer and Executive Vice President of Markets, Products, and International Growth. Mr. Layton received his bachelor’s degree from the University of Georgia. Mr. Layton’s qualifications to serve on our Board of Directors include his extensive experience in the healthcare industry and his business training and education. </w:t>
      </w:r>
    </w:p>
    <w:p>
      <w:pPr>
        <w:pStyle w:val="TextBody"/>
        <w:bidi w:val="0"/>
        <w:spacing w:before="240" w:after="0"/>
        <w:jc w:val="left"/>
        <w:rPr>
          <w:rFonts w:ascii="Times New Roman" w:hAnsi="Times New Roman"/>
          <w:b/>
          <w:sz w:val="20"/>
        </w:rPr>
      </w:pPr>
      <w:r>
        <w:rPr>
          <w:rFonts w:ascii="Times New Roman" w:hAnsi="Times New Roman"/>
          <w:b/>
          <w:sz w:val="20"/>
        </w:rPr>
        <w:t xml:space="preserve">Director Nominees </w:t>
      </w:r>
    </w:p>
    <w:p>
      <w:pPr>
        <w:pStyle w:val="TextBody"/>
        <w:bidi w:val="0"/>
        <w:spacing w:before="240" w:after="0"/>
        <w:jc w:val="both"/>
        <w:rPr>
          <w:rFonts w:ascii="Times New Roman" w:hAnsi="Times New Roman"/>
          <w:sz w:val="20"/>
        </w:rPr>
      </w:pPr>
      <w:r>
        <w:rPr>
          <w:rFonts w:ascii="Times New Roman" w:hAnsi="Times New Roman"/>
          <w:b/>
          <w:i/>
          <w:sz w:val="20"/>
        </w:rPr>
        <w:t xml:space="preserve">Rodney D. Windley, </w:t>
      </w:r>
      <w:r>
        <w:rPr>
          <w:rFonts w:ascii="Times New Roman" w:hAnsi="Times New Roman"/>
          <w:sz w:val="20"/>
        </w:rPr>
        <w:t xml:space="preserve">Chairman and Class II Director, joined Aveanna in 2017 upon its formation. Prior to joining Aveanna, Mr. Windley served as Executive Chairman of PSA Healthcare from October 2015 to 2017. Previously, Mr. Windley served as Executive Chairman of the board of directors of Gentiva Health Services, Inc. from February 2013 to December 2014 and as a director from February 2006 in connection with the acquisition of Healthfield. Mr. Windley, Healthfield’s founder, had served as its Chairman and Chief Executive Officer since its inception in 1986 until its acquisition in 2006. Mr. Windley is the Chairman of Prom Queen, LLC, a private real estate holding and restaurant development company, Chairman of RDW Ventures, LLC, a private equity firm, and Chairman of Gulf Coast Yacht Group, LLC, a private yacht and sport fishing dealership. Mr. Windley received his Bachelor of Arts degree in accounting and finance from the University of West Florida. Mr. Windley’s qualifications to serve on our Board of Directors include over 40 years of experience in the home health industry in various executive, operating and financial roles, and his past experiences serving as executive chairman of a publicly traded healthcare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 xml:space="preserve">Sam Weil, </w:t>
      </w:r>
      <w:r>
        <w:rPr>
          <w:rFonts w:ascii="Times New Roman" w:hAnsi="Times New Roman"/>
          <w:sz w:val="20"/>
        </w:rPr>
        <w:t xml:space="preserve">Class II Director, has served on our Board of Directors since 2025. Mr. Weil is a principal at Bain Capital Private Equity, where he has been a member of the healthcare investing team since 2015. Prior to joining Bain Capital, Mr. Weil was a management consultant at McKinsey &amp; Company, where he focused primarily on strategy and operations for clients across the healthcare industry. Mr. Weil is a board observer at Kailera Therapeutics, PCI Pharma Services, and LeanTaaS. Mr. Weil’s qualifications to serve on our Board of Directors include his extensive experience in the healthcare and private equity industries and his business training and education. </w:t>
      </w:r>
    </w:p>
    <w:p>
      <w:pPr>
        <w:pStyle w:val="TextBody"/>
        <w:bidi w:val="0"/>
        <w:spacing w:before="240" w:after="0"/>
        <w:jc w:val="both"/>
        <w:rPr>
          <w:rFonts w:ascii="Times New Roman" w:hAnsi="Times New Roman"/>
          <w:sz w:val="20"/>
        </w:rPr>
      </w:pPr>
      <w:r>
        <w:rPr>
          <w:rFonts w:ascii="Times New Roman" w:hAnsi="Times New Roman"/>
          <w:b/>
          <w:i/>
          <w:sz w:val="20"/>
        </w:rPr>
        <w:t>Steven E. Rodgers</w:t>
      </w:r>
      <w:r>
        <w:rPr>
          <w:rFonts w:ascii="Times New Roman" w:hAnsi="Times New Roman"/>
          <w:sz w:val="20"/>
        </w:rPr>
        <w:t xml:space="preserve">, Class II Director, has served on our Board of Directors since 2017. Prior to that, he was on the board of PSA from 2015 to 2017. Mr. Rodgers is a Managing Director of Morgan Stanley, a member of the Investment Committee, the Head of Healthcare Investing, and a Partner of Morgan Stanley Capital Partners. Mr. Rodgers is a member of the Investment Committee of the Next Level Fund and of the Morgan Stanley Investment Management (MSIM) Diversity Council. Mr. Rodgers joined Morgan Stanley in 2018 from J.H. Whitney Capital Partners, where he was a senior managing director focusing on private equity investments from April 2013 to March 2018. At J.H. Whitney, Mr. Rodgers was a member of the Investment Committee and led the firm’s healthcare investing activities. Mr. Rodgers serves on the board of directors of SpendMend, U.S. HealthConnect and Prescott’s. Mr. Rodgers also serves on the board of advisors of the Geisel School of Medicine and the Magnuson Center for Entrepreneurship at Dartmouth College. He previously served on the board of directors of a number of other healthcare companies, including Amisys Synertech, Herbalife, Patient Keeper, Symbion, Ovation Fertility, Clarity Software, and 3B Scientific. Mr. Rodgers received his Bachelor of Arts degree in government from Dartmouth College and his Master of Business Administration degree from the Stanford University Graduate School of Business. Mr. Rodgers’ qualifications to serve on our Board of Directors include his extensive experience in the healthcare and private equity industries, his business training and education, and his experience serving on multiple boards and committees over the course of his career. </w:t>
      </w:r>
    </w:p>
    <w:p>
      <w:pPr>
        <w:pStyle w:val="TextBody"/>
        <w:bidi w:val="0"/>
        <w:spacing w:before="24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240" w:after="0"/>
        <w:jc w:val="both"/>
        <w:rPr>
          <w:rFonts w:ascii="Times New Roman" w:hAnsi="Times New Roman"/>
          <w:sz w:val="20"/>
        </w:rPr>
      </w:pPr>
      <w:r>
        <w:rPr>
          <w:rFonts w:ascii="Times New Roman" w:hAnsi="Times New Roman"/>
          <w:sz w:val="20"/>
        </w:rPr>
        <w:t xml:space="preserve">There are no family relationships between any of our officers or directors. </w:t>
      </w:r>
    </w:p>
    <w:p>
      <w:pPr>
        <w:pStyle w:val="TextBody"/>
        <w:bidi w:val="0"/>
        <w:spacing w:before="360" w:after="0"/>
        <w:jc w:val="left"/>
        <w:rPr>
          <w:rFonts w:ascii="Times New Roman" w:hAnsi="Times New Roman"/>
          <w:sz w:val="20"/>
        </w:rPr>
      </w:pPr>
      <w:r>
        <w:rPr>
          <w:rFonts w:ascii="Times New Roman" w:hAnsi="Times New Roman"/>
          <w:b/>
          <w:sz w:val="20"/>
        </w:rPr>
        <w:t>Corporate Governance Highlights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0"/>
        <w:gridCol w:w="120"/>
        <w:gridCol w:w="5363"/>
        <w:gridCol w:w="120"/>
        <w:gridCol w:w="377"/>
        <w:gridCol w:w="120"/>
        <w:gridCol w:w="3745"/>
      </w:tblGrid>
      <w:tr>
        <w:trPr/>
        <w:tc>
          <w:tcPr>
            <w:tcW w:w="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5843" w:type="dxa"/>
            <w:gridSpan w:val="3"/>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sz w:val="16"/>
              </w:rPr>
            </w:pPr>
            <w:r>
              <w:rPr>
                <w:rFonts w:ascii="Times New Roman" w:hAnsi="Times New Roman"/>
                <w:b/>
                <w:sz w:val="16"/>
              </w:rPr>
              <w:t>What We Do (Best Practice)</w:t>
            </w:r>
          </w:p>
          <w:p>
            <w:pPr>
              <w:pStyle w:val="TableContents"/>
              <w:bidi w:val="0"/>
              <w:spacing w:before="0" w:after="20"/>
              <w:jc w:val="left"/>
              <w:rPr/>
            </w:pPr>
            <w:r>
              <w:rPr/>
              <w:t> </w:t>
            </w:r>
          </w:p>
        </w:tc>
        <w:tc>
          <w:tcPr>
            <w:tcW w:w="12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4242" w:type="dxa"/>
            <w:gridSpan w:val="3"/>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sz w:val="16"/>
              </w:rPr>
            </w:pPr>
            <w:r>
              <w:rPr>
                <w:rFonts w:ascii="Times New Roman" w:hAnsi="Times New Roman"/>
                <w:b/>
                <w:sz w:val="16"/>
              </w:rPr>
              <w:t>What We Don’t Allow</w:t>
            </w:r>
          </w:p>
          <w:p>
            <w:pPr>
              <w:pStyle w:val="TableContents"/>
              <w:bidi w:val="0"/>
              <w:spacing w:before="0" w:after="20"/>
              <w:jc w:val="left"/>
              <w:rPr/>
            </w:pPr>
            <w:r>
              <w:rPr/>
              <w:t> </w:t>
            </w:r>
          </w:p>
        </w:tc>
      </w:tr>
      <w:tr>
        <w:trPr/>
        <w:tc>
          <w:tcPr>
            <w:tcW w:w="360"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0"/>
              <w:jc w:val="left"/>
              <w:rPr>
                <w:color w:val="5F7361"/>
              </w:rPr>
            </w:pPr>
            <w:r>
              <w:rPr>
                <w:color w:val="5F7361"/>
              </w:rPr>
              <w:t> ✓ </w:t>
            </w:r>
          </w:p>
        </w:tc>
        <w:tc>
          <w:tcPr>
            <w:tcW w:w="120" w:type="dxa"/>
            <w:tcBorders/>
            <w:vAlign w:val="center"/>
          </w:tcPr>
          <w:p>
            <w:pPr>
              <w:pStyle w:val="TableContents"/>
              <w:bidi w:val="0"/>
              <w:spacing w:before="0" w:after="283"/>
              <w:jc w:val="left"/>
              <w:rPr/>
            </w:pPr>
            <w:r>
              <w:rPr/>
              <w:t>  </w:t>
            </w:r>
          </w:p>
        </w:tc>
        <w:tc>
          <w:tcPr>
            <w:tcW w:w="5363" w:type="dxa"/>
            <w:tcBorders/>
            <w:vAlign w:val="center"/>
          </w:tcPr>
          <w:p>
            <w:pPr>
              <w:pStyle w:val="TableContents"/>
              <w:bidi w:val="0"/>
              <w:spacing w:before="0" w:after="283"/>
              <w:jc w:val="left"/>
              <w:rPr/>
            </w:pPr>
            <w:r>
              <w:rPr/>
              <w:t>Enforce strict insider trading policies, including blackout periods for executives and directors</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color w:val="FF4338"/>
              </w:rPr>
            </w:pPr>
            <w:r>
              <w:rPr>
                <w:color w:val="FF4338"/>
              </w:rPr>
              <w:t> </w:t>
            </w:r>
            <w:r>
              <w:rPr>
                <w:color w:val="FF4338"/>
              </w:rPr>
              <w:t>X </w:t>
            </w:r>
          </w:p>
        </w:tc>
        <w:tc>
          <w:tcPr>
            <w:tcW w:w="120" w:type="dxa"/>
            <w:tcBorders/>
            <w:vAlign w:val="center"/>
          </w:tcPr>
          <w:p>
            <w:pPr>
              <w:pStyle w:val="TableContents"/>
              <w:bidi w:val="0"/>
              <w:spacing w:before="0" w:after="283"/>
              <w:jc w:val="left"/>
              <w:rPr/>
            </w:pPr>
            <w:r>
              <w:rPr/>
              <w:t>  </w:t>
            </w:r>
          </w:p>
        </w:tc>
        <w:tc>
          <w:tcPr>
            <w:tcW w:w="3745" w:type="dxa"/>
            <w:tcBorders/>
            <w:vAlign w:val="center"/>
          </w:tcPr>
          <w:p>
            <w:pPr>
              <w:pStyle w:val="TableContents"/>
              <w:bidi w:val="0"/>
              <w:spacing w:before="0" w:after="283"/>
              <w:jc w:val="left"/>
              <w:rPr/>
            </w:pPr>
            <w:r>
              <w:rPr/>
              <w:t>No hedging or pledging of Company stock by executives or directors</w:t>
            </w:r>
          </w:p>
        </w:tc>
      </w:tr>
      <w:tr>
        <w:trPr/>
        <w:tc>
          <w:tcPr>
            <w:tcW w:w="360"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0"/>
              <w:jc w:val="left"/>
              <w:rPr>
                <w:color w:val="5F7361"/>
              </w:rPr>
            </w:pPr>
            <w:r>
              <w:rPr>
                <w:color w:val="5F7361"/>
              </w:rPr>
              <w:t> ✓ </w:t>
            </w:r>
          </w:p>
        </w:tc>
        <w:tc>
          <w:tcPr>
            <w:tcW w:w="120" w:type="dxa"/>
            <w:tcBorders/>
            <w:vAlign w:val="center"/>
          </w:tcPr>
          <w:p>
            <w:pPr>
              <w:pStyle w:val="TableContents"/>
              <w:bidi w:val="0"/>
              <w:spacing w:before="0" w:after="283"/>
              <w:jc w:val="left"/>
              <w:rPr/>
            </w:pPr>
            <w:r>
              <w:rPr/>
              <w:t>  </w:t>
            </w:r>
          </w:p>
        </w:tc>
        <w:tc>
          <w:tcPr>
            <w:tcW w:w="5363" w:type="dxa"/>
            <w:tcBorders/>
            <w:vAlign w:val="center"/>
          </w:tcPr>
          <w:p>
            <w:pPr>
              <w:pStyle w:val="TableContents"/>
              <w:bidi w:val="0"/>
              <w:spacing w:before="0" w:after="283"/>
              <w:jc w:val="left"/>
              <w:rPr/>
            </w:pPr>
            <w:r>
              <w:rPr/>
              <w:t>Set meaningful stock ownership guidelines for executives and directors</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color w:val="FF4338"/>
              </w:rPr>
            </w:pPr>
            <w:r>
              <w:rPr>
                <w:color w:val="FF4338"/>
              </w:rPr>
              <w:t> </w:t>
            </w:r>
            <w:r>
              <w:rPr>
                <w:color w:val="FF4338"/>
              </w:rPr>
              <w:t>X </w:t>
            </w:r>
          </w:p>
        </w:tc>
        <w:tc>
          <w:tcPr>
            <w:tcW w:w="120" w:type="dxa"/>
            <w:tcBorders/>
            <w:vAlign w:val="center"/>
          </w:tcPr>
          <w:p>
            <w:pPr>
              <w:pStyle w:val="TableContents"/>
              <w:bidi w:val="0"/>
              <w:spacing w:before="0" w:after="283"/>
              <w:jc w:val="left"/>
              <w:rPr/>
            </w:pPr>
            <w:r>
              <w:rPr/>
              <w:t>  </w:t>
            </w:r>
          </w:p>
        </w:tc>
        <w:tc>
          <w:tcPr>
            <w:tcW w:w="3745" w:type="dxa"/>
            <w:tcBorders/>
            <w:vAlign w:val="center"/>
          </w:tcPr>
          <w:p>
            <w:pPr>
              <w:pStyle w:val="TableContents"/>
              <w:bidi w:val="0"/>
              <w:spacing w:before="0" w:after="283"/>
              <w:jc w:val="left"/>
              <w:rPr/>
            </w:pPr>
            <w:r>
              <w:rPr/>
              <w:t>No tax gross-ups upon a change in control</w:t>
            </w:r>
          </w:p>
        </w:tc>
      </w:tr>
      <w:tr>
        <w:trPr/>
        <w:tc>
          <w:tcPr>
            <w:tcW w:w="360"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0"/>
              <w:jc w:val="left"/>
              <w:rPr>
                <w:color w:val="5F7361"/>
              </w:rPr>
            </w:pPr>
            <w:r>
              <w:rPr>
                <w:color w:val="5F7361"/>
              </w:rPr>
              <w:t> ✓ </w:t>
            </w:r>
          </w:p>
        </w:tc>
        <w:tc>
          <w:tcPr>
            <w:tcW w:w="120" w:type="dxa"/>
            <w:tcBorders/>
            <w:vAlign w:val="center"/>
          </w:tcPr>
          <w:p>
            <w:pPr>
              <w:pStyle w:val="TableContents"/>
              <w:bidi w:val="0"/>
              <w:spacing w:before="0" w:after="283"/>
              <w:jc w:val="left"/>
              <w:rPr/>
            </w:pPr>
            <w:r>
              <w:rPr/>
              <w:t>  </w:t>
            </w:r>
          </w:p>
        </w:tc>
        <w:tc>
          <w:tcPr>
            <w:tcW w:w="5363" w:type="dxa"/>
            <w:tcBorders/>
            <w:vAlign w:val="center"/>
          </w:tcPr>
          <w:p>
            <w:pPr>
              <w:pStyle w:val="TableContents"/>
              <w:bidi w:val="0"/>
              <w:spacing w:before="0" w:after="283"/>
              <w:jc w:val="left"/>
              <w:rPr/>
            </w:pPr>
            <w:r>
              <w:rPr/>
              <w:t>Disclose performance goals and performance results for our annual incentive program</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color w:val="FF4338"/>
              </w:rPr>
            </w:pPr>
            <w:r>
              <w:rPr>
                <w:color w:val="FF4338"/>
              </w:rPr>
              <w:t> </w:t>
            </w:r>
            <w:r>
              <w:rPr>
                <w:color w:val="FF4338"/>
              </w:rPr>
              <w:t>X </w:t>
            </w:r>
          </w:p>
        </w:tc>
        <w:tc>
          <w:tcPr>
            <w:tcW w:w="120" w:type="dxa"/>
            <w:tcBorders/>
            <w:vAlign w:val="center"/>
          </w:tcPr>
          <w:p>
            <w:pPr>
              <w:pStyle w:val="TableContents"/>
              <w:bidi w:val="0"/>
              <w:spacing w:before="0" w:after="283"/>
              <w:jc w:val="left"/>
              <w:rPr/>
            </w:pPr>
            <w:r>
              <w:rPr/>
              <w:t>  </w:t>
            </w:r>
          </w:p>
        </w:tc>
        <w:tc>
          <w:tcPr>
            <w:tcW w:w="3745" w:type="dxa"/>
            <w:tcBorders/>
            <w:vAlign w:val="center"/>
          </w:tcPr>
          <w:p>
            <w:pPr>
              <w:pStyle w:val="TableContents"/>
              <w:bidi w:val="0"/>
              <w:spacing w:before="0" w:after="283"/>
              <w:jc w:val="left"/>
              <w:rPr/>
            </w:pPr>
            <w:r>
              <w:rPr/>
              <w:t>No re-pricing or cash buyout of underwater stock options</w:t>
            </w:r>
          </w:p>
        </w:tc>
      </w:tr>
      <w:tr>
        <w:trPr/>
        <w:tc>
          <w:tcPr>
            <w:tcW w:w="360"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0"/>
              <w:jc w:val="left"/>
              <w:rPr>
                <w:color w:val="5F7361"/>
              </w:rPr>
            </w:pPr>
            <w:r>
              <w:rPr>
                <w:color w:val="5F7361"/>
              </w:rPr>
              <w:t> ✓ </w:t>
            </w:r>
          </w:p>
        </w:tc>
        <w:tc>
          <w:tcPr>
            <w:tcW w:w="120" w:type="dxa"/>
            <w:tcBorders/>
            <w:vAlign w:val="center"/>
          </w:tcPr>
          <w:p>
            <w:pPr>
              <w:pStyle w:val="TableContents"/>
              <w:bidi w:val="0"/>
              <w:spacing w:before="0" w:after="283"/>
              <w:jc w:val="left"/>
              <w:rPr/>
            </w:pPr>
            <w:r>
              <w:rPr/>
              <w:t>  </w:t>
            </w:r>
          </w:p>
        </w:tc>
        <w:tc>
          <w:tcPr>
            <w:tcW w:w="5363" w:type="dxa"/>
            <w:tcBorders/>
            <w:vAlign w:val="center"/>
          </w:tcPr>
          <w:p>
            <w:pPr>
              <w:pStyle w:val="TableContents"/>
              <w:bidi w:val="0"/>
              <w:spacing w:before="0" w:after="283"/>
              <w:jc w:val="left"/>
              <w:rPr/>
            </w:pPr>
            <w:r>
              <w:rPr/>
              <w:t>Set a maximum individual payout limit for our annual bonus program</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color w:val="FF4338"/>
              </w:rPr>
            </w:pPr>
            <w:r>
              <w:rPr>
                <w:color w:val="FF4338"/>
              </w:rPr>
              <w:t> </w:t>
            </w:r>
            <w:r>
              <w:rPr>
                <w:color w:val="FF4338"/>
              </w:rPr>
              <w:t>X </w:t>
            </w:r>
          </w:p>
        </w:tc>
        <w:tc>
          <w:tcPr>
            <w:tcW w:w="120" w:type="dxa"/>
            <w:tcBorders/>
            <w:vAlign w:val="center"/>
          </w:tcPr>
          <w:p>
            <w:pPr>
              <w:pStyle w:val="TableContents"/>
              <w:bidi w:val="0"/>
              <w:spacing w:before="0" w:after="283"/>
              <w:jc w:val="left"/>
              <w:rPr/>
            </w:pPr>
            <w:r>
              <w:rPr/>
              <w:t>  </w:t>
            </w:r>
          </w:p>
        </w:tc>
        <w:tc>
          <w:tcPr>
            <w:tcW w:w="3745" w:type="dxa"/>
            <w:tcBorders/>
            <w:vAlign w:val="center"/>
          </w:tcPr>
          <w:p>
            <w:pPr>
              <w:pStyle w:val="TableContents"/>
              <w:bidi w:val="0"/>
              <w:spacing w:before="0" w:after="283"/>
              <w:jc w:val="left"/>
              <w:rPr/>
            </w:pPr>
            <w:r>
              <w:rPr/>
              <w:t>No enhanced retirement formulas</w:t>
            </w:r>
          </w:p>
        </w:tc>
      </w:tr>
      <w:tr>
        <w:trPr/>
        <w:tc>
          <w:tcPr>
            <w:tcW w:w="360"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0"/>
              <w:jc w:val="left"/>
              <w:rPr>
                <w:color w:val="5F7361"/>
              </w:rPr>
            </w:pPr>
            <w:r>
              <w:rPr>
                <w:color w:val="5F7361"/>
              </w:rPr>
              <w:t> ✓ </w:t>
            </w:r>
          </w:p>
        </w:tc>
        <w:tc>
          <w:tcPr>
            <w:tcW w:w="120" w:type="dxa"/>
            <w:tcBorders/>
            <w:vAlign w:val="center"/>
          </w:tcPr>
          <w:p>
            <w:pPr>
              <w:pStyle w:val="TableContents"/>
              <w:bidi w:val="0"/>
              <w:spacing w:before="0" w:after="283"/>
              <w:jc w:val="left"/>
              <w:rPr/>
            </w:pPr>
            <w:r>
              <w:rPr/>
              <w:t>  </w:t>
            </w:r>
          </w:p>
        </w:tc>
        <w:tc>
          <w:tcPr>
            <w:tcW w:w="5363" w:type="dxa"/>
            <w:tcBorders/>
            <w:vAlign w:val="center"/>
          </w:tcPr>
          <w:p>
            <w:pPr>
              <w:pStyle w:val="TableContents"/>
              <w:bidi w:val="0"/>
              <w:spacing w:before="0" w:after="283"/>
              <w:jc w:val="left"/>
              <w:rPr/>
            </w:pPr>
            <w:r>
              <w:rPr/>
              <w:t>Incorporate general severance and change-in-control provisions</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color w:val="FF4338"/>
              </w:rPr>
            </w:pPr>
            <w:r>
              <w:rPr>
                <w:color w:val="FF4338"/>
              </w:rPr>
              <w:t> </w:t>
            </w:r>
            <w:r>
              <w:rPr>
                <w:color w:val="FF4338"/>
              </w:rPr>
              <w:t>X </w:t>
            </w:r>
          </w:p>
        </w:tc>
        <w:tc>
          <w:tcPr>
            <w:tcW w:w="120" w:type="dxa"/>
            <w:tcBorders/>
            <w:vAlign w:val="center"/>
          </w:tcPr>
          <w:p>
            <w:pPr>
              <w:pStyle w:val="TableContents"/>
              <w:bidi w:val="0"/>
              <w:spacing w:before="0" w:after="283"/>
              <w:jc w:val="left"/>
              <w:rPr/>
            </w:pPr>
            <w:r>
              <w:rPr/>
              <w:t>  </w:t>
            </w:r>
          </w:p>
        </w:tc>
        <w:tc>
          <w:tcPr>
            <w:tcW w:w="3745" w:type="dxa"/>
            <w:tcBorders/>
            <w:vAlign w:val="center"/>
          </w:tcPr>
          <w:p>
            <w:pPr>
              <w:pStyle w:val="TableContents"/>
              <w:bidi w:val="0"/>
              <w:spacing w:before="0" w:after="283"/>
              <w:jc w:val="left"/>
              <w:rPr/>
            </w:pPr>
            <w:r>
              <w:rPr/>
              <w:t>No market timing in connection with granting of equity awards</w:t>
            </w:r>
          </w:p>
        </w:tc>
      </w:tr>
      <w:tr>
        <w:trPr/>
        <w:tc>
          <w:tcPr>
            <w:tcW w:w="360"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3865"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0"/>
              <w:jc w:val="left"/>
              <w:rPr>
                <w:color w:val="5F7361"/>
              </w:rPr>
            </w:pPr>
            <w:r>
              <w:rPr>
                <w:color w:val="5F7361"/>
              </w:rPr>
              <w:t> ✓ </w:t>
            </w:r>
          </w:p>
        </w:tc>
        <w:tc>
          <w:tcPr>
            <w:tcW w:w="120" w:type="dxa"/>
            <w:tcBorders/>
            <w:vAlign w:val="center"/>
          </w:tcPr>
          <w:p>
            <w:pPr>
              <w:pStyle w:val="TableContents"/>
              <w:bidi w:val="0"/>
              <w:spacing w:before="0" w:after="283"/>
              <w:jc w:val="left"/>
              <w:rPr/>
            </w:pPr>
            <w:r>
              <w:rPr/>
              <w:t>  </w:t>
            </w:r>
          </w:p>
        </w:tc>
        <w:tc>
          <w:tcPr>
            <w:tcW w:w="5363" w:type="dxa"/>
            <w:tcBorders/>
            <w:vAlign w:val="center"/>
          </w:tcPr>
          <w:p>
            <w:pPr>
              <w:pStyle w:val="TableContents"/>
              <w:bidi w:val="0"/>
              <w:spacing w:before="0" w:after="283"/>
              <w:jc w:val="left"/>
              <w:rPr/>
            </w:pPr>
            <w:r>
              <w:rPr/>
              <w:t>Retain an independent compensation consultant reporting directly to the Compensation Committee</w:t>
            </w:r>
          </w:p>
        </w:tc>
        <w:tc>
          <w:tcPr>
            <w:tcW w:w="12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Hedging and Pledging Company Securities </w:t>
      </w:r>
    </w:p>
    <w:p>
      <w:pPr>
        <w:pStyle w:val="TextBody"/>
        <w:bidi w:val="0"/>
        <w:spacing w:before="240" w:after="0"/>
        <w:jc w:val="both"/>
        <w:rPr>
          <w:rFonts w:ascii="Times New Roman" w:hAnsi="Times New Roman"/>
          <w:sz w:val="20"/>
        </w:rPr>
      </w:pPr>
      <w:r>
        <w:rPr>
          <w:rFonts w:ascii="Times New Roman" w:hAnsi="Times New Roman"/>
          <w:sz w:val="20"/>
        </w:rPr>
        <w:t xml:space="preserve">Our Securities Trading Policy prohibits our directors, officers, employees, family members of such persons and entities controlled by such persons from engaging in hedging, short sales, or trading in publicly traded put or call options with respect to our securities. Additionally, such policy prohibits the same persons from purchasing our securities on margin, borrowing against any account in which our securities are held, or pledging our securities as collateral for a loan. </w:t>
      </w:r>
    </w:p>
    <w:p>
      <w:pPr>
        <w:pStyle w:val="TextBody"/>
        <w:bidi w:val="0"/>
        <w:spacing w:before="240" w:after="0"/>
        <w:jc w:val="left"/>
        <w:rPr>
          <w:rFonts w:ascii="Times New Roman" w:hAnsi="Times New Roman"/>
          <w:b/>
          <w:i/>
          <w:sz w:val="20"/>
        </w:rPr>
      </w:pPr>
      <w:r>
        <w:rPr>
          <w:rFonts w:ascii="Times New Roman" w:hAnsi="Times New Roman"/>
          <w:b/>
          <w:i/>
          <w:sz w:val="20"/>
        </w:rPr>
        <w:t xml:space="preserve">Stock Ownership Guidelines </w:t>
      </w:r>
    </w:p>
    <w:p>
      <w:pPr>
        <w:pStyle w:val="TextBody"/>
        <w:bidi w:val="0"/>
        <w:spacing w:before="240" w:after="0"/>
        <w:jc w:val="both"/>
        <w:rPr>
          <w:rFonts w:ascii="Times New Roman" w:hAnsi="Times New Roman"/>
          <w:sz w:val="20"/>
        </w:rPr>
      </w:pPr>
      <w:r>
        <w:rPr>
          <w:rFonts w:ascii="Times New Roman" w:hAnsi="Times New Roman"/>
          <w:sz w:val="20"/>
        </w:rPr>
        <w:t xml:space="preserve">We have stock ownership guidelines applicable to non-employee directors and our Named Executive Officers (“NEOs”). Our Board of Directors believes it is in the best interests of the Company and our stockholders to align the financial interests of leadership and non-employee directors with those of our stockholders. Our guideline structure is as follows: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Non-Employee Directors: 4x annual cash retainer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Chief Executive Officer: 6x base salary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Other NEOs: 3x base salary </w:t>
            </w:r>
          </w:p>
        </w:tc>
      </w:tr>
    </w:tbl>
    <w:p>
      <w:pPr>
        <w:pStyle w:val="TextBody"/>
        <w:bidi w:val="0"/>
        <w:spacing w:before="240" w:after="0"/>
        <w:jc w:val="both"/>
        <w:rPr>
          <w:rFonts w:ascii="Times New Roman" w:hAnsi="Times New Roman"/>
          <w:sz w:val="20"/>
        </w:rPr>
      </w:pPr>
      <w:r>
        <w:rPr>
          <w:rFonts w:ascii="Times New Roman" w:hAnsi="Times New Roman"/>
          <w:sz w:val="20"/>
        </w:rPr>
        <w:t xml:space="preserve">Participants are expected to comply with the ownership requirements within five years of an appointment to a qualified position. The categories of stock ownership that satisfy the ownership criteria include: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shares owned directly or indirectly (e.g. by immediate family member or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vested and unvested shares of restricted stock, vested and unvested time-based restricted stock units (“RSUs”) and vested (earned) performance-share units; </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110"/>
        <w:gridCol w:w="60"/>
        <w:gridCol w:w="3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shares held in retirement accounts; and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deferred stock units and deferred compensation payable under our deferred compensation plans.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Unexercised stock options and unvested performance stock units (“PSUs”) are not included when determining compliance with the guidelines. The Compensation Committee is responsible for monitoring the application of the stock ownership guidelines and may modify the guidelines in its discretion, including as a result of dramatic or unexpected changes in the market value of Aveanna’s common stock. The Compensation Committee has the discretion to enforce these stock ownership guidelines on a case-by-case basis. </w:t>
      </w:r>
    </w:p>
    <w:p>
      <w:pPr>
        <w:pStyle w:val="TextBody"/>
        <w:bidi w:val="0"/>
        <w:spacing w:before="240" w:after="0"/>
        <w:jc w:val="left"/>
        <w:rPr>
          <w:rFonts w:ascii="Times New Roman" w:hAnsi="Times New Roman"/>
          <w:b/>
          <w:sz w:val="20"/>
        </w:rPr>
      </w:pPr>
      <w:r>
        <w:rPr>
          <w:rFonts w:ascii="Times New Roman" w:hAnsi="Times New Roman"/>
          <w:b/>
          <w:sz w:val="20"/>
        </w:rPr>
        <w:t xml:space="preserve">Involvement in Certain Legal Proceedings </w:t>
      </w:r>
    </w:p>
    <w:p>
      <w:pPr>
        <w:pStyle w:val="TextBody"/>
        <w:bidi w:val="0"/>
        <w:spacing w:before="240" w:after="0"/>
        <w:jc w:val="both"/>
        <w:rPr>
          <w:rFonts w:ascii="Times New Roman" w:hAnsi="Times New Roman"/>
          <w:sz w:val="20"/>
        </w:rPr>
      </w:pPr>
      <w:r>
        <w:rPr>
          <w:rFonts w:ascii="Times New Roman" w:hAnsi="Times New Roman"/>
          <w:sz w:val="20"/>
        </w:rPr>
        <w:t xml:space="preserve">Our directors and executive officers are not parties to any material legal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798829_3"/>
      <w:bookmarkEnd w:id="5"/>
      <w:r>
        <w:rPr>
          <w:rFonts w:ascii="Times New Roman" w:hAnsi="Times New Roman"/>
          <w:b/>
          <w:sz w:val="20"/>
        </w:rPr>
        <w:t xml:space="preserve">PROPOSAL 1—ELECTION OF DIRECTORS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nominated the following persons for election at the Meeting as Class II members of our Board of Directors. </w:t>
      </w:r>
    </w:p>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1655"/>
        <w:gridCol w:w="120"/>
        <w:gridCol w:w="3110"/>
        <w:gridCol w:w="120"/>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20"/>
              </w:rPr>
            </w:pPr>
            <w:r>
              <w:rPr>
                <w:rFonts w:ascii="Times New Roman" w:hAnsi="Times New Roman"/>
                <w:sz w:val="20"/>
              </w:rPr>
              <w:t>Name</w:t>
            </w:r>
          </w:p>
        </w:tc>
        <w:tc>
          <w:tcPr>
            <w:tcW w:w="120" w:type="dxa"/>
            <w:tcBorders/>
            <w:vAlign w:val="center"/>
          </w:tcPr>
          <w:p>
            <w:pPr>
              <w:pStyle w:val="TableContents"/>
              <w:bidi w:val="0"/>
              <w:spacing w:before="0" w:after="283"/>
              <w:jc w:val="left"/>
              <w:rPr/>
            </w:pPr>
            <w:r>
              <w:rPr/>
              <w:t>  </w:t>
            </w:r>
          </w:p>
        </w:tc>
        <w:tc>
          <w:tcPr>
            <w:tcW w:w="31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20"/>
              </w:rPr>
            </w:pPr>
            <w:r>
              <w:rPr>
                <w:rFonts w:ascii="Times New Roman" w:hAnsi="Times New Roman"/>
                <w:sz w:val="20"/>
              </w:rPr>
              <w:t>Term Expiring</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Rodney D. Windley</w:t>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2029 Annual Meeting of stockholders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Sam Weil</w:t>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2029 Annual Meeting of stockholders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Steven E. Rodgers</w:t>
            </w:r>
          </w:p>
        </w:tc>
        <w:tc>
          <w:tcPr>
            <w:tcW w:w="1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2029 Annual Meeting of stockholders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both"/>
        <w:rPr>
          <w:rFonts w:ascii="Times New Roman" w:hAnsi="Times New Roman"/>
          <w:sz w:val="20"/>
        </w:rPr>
      </w:pPr>
      <w:r>
        <w:rPr>
          <w:rFonts w:ascii="Times New Roman" w:hAnsi="Times New Roman"/>
          <w:sz w:val="20"/>
        </w:rPr>
        <w:t xml:space="preserve">The section of this Proxy Statement titled “Directors and Executive Officers” contains more information about the experiences, qualifications, attributes or skills, that were considered by the Nominating and Corporate Governance Committee and the Board of Directors in determining that these nominees should serve as Class II directors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each of these directors possesses the experience, qualifications, attributes or skills, to fully perform his duties as a director and contribute to our success, including the highest standards of personal integrity, interpersonal and communication skills, accomplished professional backgrounds, an understanding of the interests and issues that are important to our stockholders, and an ability to dedicate sufficient time to fulfilling their obligations as directors. While our directors have a diverse set of experiences, qualifications, attributes or skills, together they complement each other to create a cohesive body in terms of Board process and collaboration. </w:t>
      </w:r>
    </w:p>
    <w:p>
      <w:pPr>
        <w:pStyle w:val="TextBody"/>
        <w:bidi w:val="0"/>
        <w:spacing w:before="240" w:after="0"/>
        <w:jc w:val="left"/>
        <w:rPr>
          <w:rFonts w:ascii="Times New Roman" w:hAnsi="Times New Roman"/>
          <w:b/>
          <w:sz w:val="20"/>
        </w:rPr>
      </w:pPr>
      <w:r>
        <w:rPr>
          <w:rFonts w:ascii="Times New Roman" w:hAnsi="Times New Roman"/>
          <w:b/>
          <w:sz w:val="20"/>
        </w:rPr>
        <w:t xml:space="preserve">Board of Directors Recommendation </w:t>
      </w:r>
    </w:p>
    <w:p>
      <w:pPr>
        <w:pStyle w:val="TextBody"/>
        <w:bidi w:val="0"/>
        <w:spacing w:before="240" w:after="0"/>
        <w:jc w:val="both"/>
        <w:rPr>
          <w:rFonts w:ascii="Times New Roman" w:hAnsi="Times New Roman"/>
          <w:sz w:val="20"/>
        </w:rPr>
      </w:pPr>
      <w:r>
        <w:rPr>
          <w:rFonts w:ascii="Times New Roman" w:hAnsi="Times New Roman"/>
          <w:sz w:val="20"/>
        </w:rPr>
        <w:t>THE BOARD RECOMMENDS THAT YOU VOTE “</w:t>
      </w:r>
      <w:r>
        <w:rPr>
          <w:rFonts w:ascii="Times New Roman" w:hAnsi="Times New Roman"/>
          <w:b/>
          <w:i/>
          <w:sz w:val="20"/>
        </w:rPr>
        <w:t xml:space="preserve">FOR” </w:t>
      </w:r>
      <w:r>
        <w:rPr>
          <w:rFonts w:ascii="Times New Roman" w:hAnsi="Times New Roman"/>
          <w:sz w:val="20"/>
        </w:rPr>
        <w:t xml:space="preserve">THE ELECTION OF THE PERSONS NAMED ABOVE. </w:t>
      </w:r>
    </w:p>
    <w:p>
      <w:pPr>
        <w:pStyle w:val="TextBody"/>
        <w:bidi w:val="0"/>
        <w:spacing w:before="24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240" w:after="0"/>
        <w:jc w:val="both"/>
        <w:rPr>
          <w:rFonts w:ascii="Times New Roman" w:hAnsi="Times New Roman"/>
          <w:sz w:val="20"/>
        </w:rPr>
      </w:pPr>
      <w:r>
        <w:rPr>
          <w:rFonts w:ascii="Times New Roman" w:hAnsi="Times New Roman"/>
          <w:sz w:val="20"/>
        </w:rPr>
        <w:t xml:space="preserve">Directors are elected by a plurality of the votes cast at the Meeting. </w:t>
      </w:r>
    </w:p>
    <w:p>
      <w:pPr>
        <w:pStyle w:val="TextBody"/>
        <w:bidi w:val="0"/>
        <w:spacing w:before="240" w:after="0"/>
        <w:jc w:val="center"/>
        <w:rPr>
          <w:rFonts w:ascii="Times New Roman" w:hAnsi="Times New Roman"/>
          <w:b/>
          <w:sz w:val="20"/>
        </w:rPr>
      </w:pPr>
      <w:bookmarkStart w:id="6" w:name="rom798829_4"/>
      <w:bookmarkEnd w:id="6"/>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Composition of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business and affairs are managed under the direction of our Board of Directors. Our Board of Directors is composed of eight directors. Certain aspects of the composition and functioning of our Board of Directors are subject to the rights of our principal stockholders under our A&amp;R Stockholders Agreement, as defined below in “Certain Relationships and Related Party Transactions—Stockholders Agreement.” </w:t>
      </w:r>
    </w:p>
    <w:p>
      <w:pPr>
        <w:pStyle w:val="TextBody"/>
        <w:bidi w:val="0"/>
        <w:spacing w:before="240" w:after="0"/>
        <w:jc w:val="both"/>
        <w:rPr>
          <w:rFonts w:ascii="Times New Roman" w:hAnsi="Times New Roman"/>
          <w:sz w:val="20"/>
        </w:rPr>
      </w:pPr>
      <w:r>
        <w:rPr>
          <w:rFonts w:ascii="Times New Roman" w:hAnsi="Times New Roman"/>
          <w:sz w:val="20"/>
        </w:rPr>
        <w:t xml:space="preserve">When considering whether directors have the experience, qualifications, attributes or skills, taken as a whole, to enable our Board of Directors to effectively satisfy its oversight responsibilities in light of our business and structure, the Board of Directors focuses primarily on each person’s background and experience as reflected in the information discussed in the directors’ respective biographies set forth above. We believe that our directors provide an appropriate mix of experiences, qualifications, attributes and skills, relevant to the size and nature of our business.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our Charter, our Board of Directors is divided into three classes, as nearly equal in number as possible, with the directors in each class serving for a staggered three-year term and one class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elected at each annual meeting of stockholders. As a result, approximately one-third of our Board of Directors will be elected each year. Our current directors are divided among the three classes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Class I directors are Victor F. Ganzi and Devin O’Reilly and their terms will expire at the annual meeting of stockholders to be held in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Class II directors are Rodney D. Windley, Sam Weil and Steven E. Rodgers and their terms will expire at the Meeting. Mr. Windley, Mr. Weil and Mr. Rodgers have been nominated to stand for election at the Meeting to serve as Class II directors until the 2029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Class III directors are Brent Layton, Erica G. Schwartz and Jeff Shaner, and their terms will expire at the annual meeting of stockholders to be held in 2027.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Chairman of the Board of Directors and Board Leadership Structure </w:t>
      </w:r>
    </w:p>
    <w:p>
      <w:pPr>
        <w:pStyle w:val="TextBody"/>
        <w:bidi w:val="0"/>
        <w:spacing w:before="240" w:after="0"/>
        <w:jc w:val="both"/>
        <w:rPr>
          <w:rFonts w:ascii="Times New Roman" w:hAnsi="Times New Roman"/>
          <w:sz w:val="20"/>
        </w:rPr>
      </w:pPr>
      <w:r>
        <w:rPr>
          <w:rFonts w:ascii="Times New Roman" w:hAnsi="Times New Roman"/>
          <w:sz w:val="20"/>
        </w:rPr>
        <w:t xml:space="preserve">The Board believes that it is appropriate to separate the roles of Chairman and Chief Executive Officer. Mr. Windley serves as our Chairman, and Mr. Shaner serves as our Chief Executive Officer. </w:t>
      </w:r>
    </w:p>
    <w:p>
      <w:pPr>
        <w:pStyle w:val="TextBody"/>
        <w:bidi w:val="0"/>
        <w:spacing w:before="240" w:after="0"/>
        <w:jc w:val="both"/>
        <w:rPr>
          <w:rFonts w:ascii="Times New Roman" w:hAnsi="Times New Roman"/>
          <w:sz w:val="20"/>
        </w:rPr>
      </w:pPr>
      <w:r>
        <w:rPr>
          <w:rFonts w:ascii="Times New Roman" w:hAnsi="Times New Roman"/>
          <w:sz w:val="20"/>
        </w:rPr>
        <w:t xml:space="preserve">Mr. Windley, in his role as Chairman, presides over meetings of the Board and brings his strong operational experience, extensive knowledge of our industry, and innovative leadership skills to support management’s execution of our strategy and focus our directors’ attention on the most critical matters affecting our business. </w:t>
      </w:r>
    </w:p>
    <w:p>
      <w:pPr>
        <w:pStyle w:val="TextBody"/>
        <w:bidi w:val="0"/>
        <w:spacing w:before="240" w:after="0"/>
        <w:jc w:val="both"/>
        <w:rPr>
          <w:rFonts w:ascii="Times New Roman" w:hAnsi="Times New Roman"/>
          <w:sz w:val="20"/>
        </w:rPr>
      </w:pPr>
      <w:r>
        <w:rPr>
          <w:rFonts w:ascii="Times New Roman" w:hAnsi="Times New Roman"/>
          <w:sz w:val="20"/>
        </w:rPr>
        <w:t xml:space="preserve">Mr. Shaner, in his capacity as Chief Executive Officer, is responsible for acting as a liaison between the Board and our management team, including oversight of management’s implementation of the Board’s strategies, directives and execution of our acquisition activity. Moreover, Mr. Shaner, as Chief Executive Officer, is responsible for providing daily leadership and oversight of our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affirmatively determined that each of Rodney D. Windley, Victor F. Ganzi, Sam Weil, Brent Layton, Devin O’Reilly, Steven E. Rodgers and Erica Schwartz is an “independent director,” as defined under the rules of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Controlled Company Exception </w:t>
      </w:r>
    </w:p>
    <w:p>
      <w:pPr>
        <w:pStyle w:val="TextBody"/>
        <w:bidi w:val="0"/>
        <w:spacing w:before="240" w:after="0"/>
        <w:jc w:val="both"/>
        <w:rPr>
          <w:rFonts w:ascii="Times New Roman" w:hAnsi="Times New Roman"/>
          <w:sz w:val="20"/>
        </w:rPr>
      </w:pPr>
      <w:r>
        <w:rPr>
          <w:rFonts w:ascii="Times New Roman" w:hAnsi="Times New Roman"/>
          <w:sz w:val="20"/>
        </w:rPr>
        <w:t xml:space="preserve">Bain Capital L.P., one of the world’s leading private, multi-asset alternative investment firms, and J.H. Whitney Capital Partners (together with Bain Capital, the “Sponsors”), a leader in the private equity industry, and their respective affiliates (the “Sponsor Affiliates”) beneficially own more than 50% of the combined voting power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Under the Nasdaq corporate governance standards, a company of which more than 50% of the voting power is held by an individual, group or another company is a “controlled company” and may elect not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comply with certain corporate governance standards, including the requirement that (i) we have a Board of Directors comprised of a majority of independent directors, (ii) we have a compensation committee that is composed entirely of directors that satisfy certain heightened standards of independence and (iii) our director nominations be made, or recommended to our full Board of Directors, by our independent directors or by a nominations committee that consists entirely of independent directors. We currently utilize the exemption with respect to our Nominating and Corporate Governance Committee, but our Board of Directors is comprised of a majority of independent directors and our Compensation Committee is composed entirely of independent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240" w:after="0"/>
        <w:jc w:val="both"/>
        <w:rPr>
          <w:rFonts w:ascii="Times New Roman" w:hAnsi="Times New Roman"/>
          <w:sz w:val="20"/>
        </w:rPr>
      </w:pPr>
      <w:r>
        <w:rPr>
          <w:rFonts w:ascii="Times New Roman" w:hAnsi="Times New Roman"/>
          <w:sz w:val="20"/>
        </w:rPr>
        <w:t xml:space="preserve">The committees of our Board of Directors are the Audit Committee, the Compensation Committee, the Nominating and Corporate Governance Committee and the Clinical Quality Committee. Each committee operates under a charter approved by our Board of Directors. Members serve on these committees until their respective resignations or until otherwise determined by our Board of Directors. Copies of each committee’s charter are available on our website, located at www.aveanna.com. Information contained on or accessible through our website does not form a part of this Proxy Statement and is not incorporated by reference herein. </w:t>
      </w:r>
    </w:p>
    <w:p>
      <w:pPr>
        <w:pStyle w:val="TextBody"/>
        <w:bidi w:val="0"/>
        <w:spacing w:before="24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240" w:after="0"/>
        <w:jc w:val="both"/>
        <w:rPr>
          <w:rFonts w:ascii="Times New Roman" w:hAnsi="Times New Roman"/>
          <w:sz w:val="20"/>
        </w:rPr>
      </w:pPr>
      <w:r>
        <w:rPr>
          <w:rFonts w:ascii="Times New Roman" w:hAnsi="Times New Roman"/>
          <w:sz w:val="20"/>
        </w:rPr>
        <w:t xml:space="preserve">Our Audit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appointing, compensating, retaining, evaluating, terminating and overseeing our independent registered public accounting firm;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discussing with our independent registered public accounting firm their independence from management;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with our independent registered public accounting firm, the scope and results of their audit;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approving all audit and permissible non-audit services to be performed by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the financial reporting process and discussing with management and our independent registered public accounting firm the quarterly and annual financial statements that we file with the SEC;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financial and accounting controls and compliance with legal and regulatory requirements;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our policies on risk assessment and risk management;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risks from our cybersecurity threats;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related person transactions;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establishing procedures for the confidential anonymous submission of concerns regarding questionable accounting, internal controls or auditing matters.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Audit Committee is composed of Victor F. Ganzi, Brent Layton and Steven E. Rodgers, with Mr. Ganzi serving as chair. Mr. Ganzi qualifies as an “audit committee financial expert” as such term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defined in Item 407(d)(5) of Regulation S-K. Our Board of Directors has affirmatively determined that each of Messrs. Ganzi, Layton and Rodgers is “independent” for purposes of serving on the Audit Committee under the Nasdaq rules and the independence standards under Rule 10A-3 of the Securities Exchange Act of 1934, as amended (the “Exchange Act”). </w:t>
      </w:r>
    </w:p>
    <w:p>
      <w:pPr>
        <w:pStyle w:val="TextBody"/>
        <w:bidi w:val="0"/>
        <w:spacing w:before="24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240" w:after="0"/>
        <w:jc w:val="both"/>
        <w:rPr>
          <w:rFonts w:ascii="Times New Roman" w:hAnsi="Times New Roman"/>
          <w:sz w:val="20"/>
        </w:rPr>
      </w:pPr>
      <w:r>
        <w:rPr>
          <w:rFonts w:ascii="Times New Roman" w:hAnsi="Times New Roman"/>
          <w:sz w:val="20"/>
        </w:rPr>
        <w:t xml:space="preserve">Our Nominating and Corporate Governance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identifying individuals qualified to become members of our Board of Directors, consistent with criteria approved by our Board of Directors;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succession planning for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periodically reviewing our Board of Directors’ leadership structure and recommending any proposed changes to our Board of Directors; and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an annual evaluation of the effectiveness of our Board of Directors and its committees.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is composed of Devin O’Reilly, Jeff Shaner and Rodney D. Windley, with Mr. Windley serving as chair. As described above, we avail ourselves of the “controlled company” exemption under the Nasdaq rules, which exempts us from the requirement that we have a Nominating and Corporate Governance Committee composed entirely of independent directors. Mr. Shaner does not qualify as an “independent director” under the Nasdaq rules.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making recommendations to our Board of Directors regarding corporate goals and objectives, evaluating the performance and reviewing and approving the compensation of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making recommendations to our Board of Directors regarding our incentive compensation and equity-based plans, policies and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making recommendations to our Board of Directors regarding all employment agreement and severance arrangements for our executive officers;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making recommendations to our Board of Directors regarding the compensation of our directors; and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retaining and overseeing any compensation consultants.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is composed of Devin O’Reilly, Steven E. Rodgers and Sam Weil, with Mr. O’Reilly serving as chair. Although, as a “controlled company”, we are not required to have a compensation committee composed entirely of independent directors, all members of our Compensation Committee are “independent” for purposes of serving on the Compensation Committee under the Nasdaq rules. Each member of our Compensation Committee is a non-employee director (within the meaning of Rule 16b-3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Clinical Quality Committee </w:t>
      </w:r>
    </w:p>
    <w:p>
      <w:pPr>
        <w:pStyle w:val="TextBody"/>
        <w:bidi w:val="0"/>
        <w:spacing w:before="240" w:after="0"/>
        <w:jc w:val="both"/>
        <w:rPr>
          <w:rFonts w:ascii="Times New Roman" w:hAnsi="Times New Roman"/>
          <w:sz w:val="20"/>
        </w:rPr>
      </w:pPr>
      <w:r>
        <w:rPr>
          <w:rFonts w:ascii="Times New Roman" w:hAnsi="Times New Roman"/>
          <w:sz w:val="20"/>
        </w:rPr>
        <w:t xml:space="preserve">Our Clinical Quality Committee oversees our non-financial compliance matters and is responsible for, among other things: </w:t>
      </w:r>
    </w:p>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identifying, reviewing and analyzing laws and regulations applicable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recommending to the Board of Directors, and monitoring the implementation of, compliance programs, policies and procedures that comply with local, state and federal laws, regulations and guidelines;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significant compliance risk areas identified by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discussing periodically with management the adequacy and effectiveness of policies and procedures to assess, monitor, and manage non-financial compliance business risk and compliance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monitoring compliance with, authorizing waivers of, investigating alleged breaches of and enforcing our non-financial compliance programs;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our procedures for the receipt, retention and treatment of complaints received regarding non-financial compliance matters.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Clinical Quality Committee is composed of Devin O’Reilly, Erica Schwartz and Jeff Shaner, with Dr. Schwartz serving as chair. </w:t>
      </w:r>
    </w:p>
    <w:p>
      <w:pPr>
        <w:pStyle w:val="TextBody"/>
        <w:bidi w:val="0"/>
        <w:spacing w:before="240" w:after="0"/>
        <w:jc w:val="left"/>
        <w:rPr>
          <w:rFonts w:ascii="Times New Roman" w:hAnsi="Times New Roman"/>
          <w:b/>
          <w:sz w:val="20"/>
        </w:rPr>
      </w:pPr>
      <w:r>
        <w:rPr>
          <w:rFonts w:ascii="Times New Roman" w:hAnsi="Times New Roman"/>
          <w:b/>
          <w:sz w:val="20"/>
        </w:rPr>
        <w:t xml:space="preserve">Board and Committee Meetings—2025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held four meetings in fiscal year 2025. Our Board’s Audit and Clinical Quality Committees generally meet on or around the date of each regularly scheduled quarterly Board meeting. The Compensation and Nominating and Corporate Governance Committees meet as often as determined appropriate to carry out their responsibilities. During 2025, the Audit Committee held four meetings; the Clinical Quality Committee held four meetings; the Compensation Committee held two meetings; and the Nominating and Corporate Governance Committee, in lieu of a meeting, acted by unanimous written consent to recommend Sam Weil as a Class II Director. Each of our current directors attended at least 75% of the total number of Board meetings and meetings of the committees on which he or she served during fiscal year 2025. Generally, during every month in which there is no regularly scheduled Board meeting, the Board of Directors members meet telephonically with selected members of Company management. All of our directors are encouraged to attend our annual meeting of stockholders. Two directors attended our 2025 annual meeting in person, and one director attended virtually. </w:t>
      </w:r>
    </w:p>
    <w:p>
      <w:pPr>
        <w:pStyle w:val="TextBody"/>
        <w:bidi w:val="0"/>
        <w:spacing w:before="240" w:after="0"/>
        <w:jc w:val="left"/>
        <w:rPr>
          <w:rFonts w:ascii="Times New Roman" w:hAnsi="Times New Roman"/>
          <w:b/>
          <w:sz w:val="20"/>
        </w:rPr>
      </w:pPr>
      <w:r>
        <w:rPr>
          <w:rFonts w:ascii="Times New Roman" w:hAnsi="Times New Roman"/>
          <w:b/>
          <w:sz w:val="20"/>
        </w:rPr>
        <w:t xml:space="preserve">Independent Directors—Meetings in Executive Session </w:t>
      </w:r>
    </w:p>
    <w:p>
      <w:pPr>
        <w:pStyle w:val="TextBody"/>
        <w:bidi w:val="0"/>
        <w:spacing w:before="240" w:after="0"/>
        <w:jc w:val="both"/>
        <w:rPr>
          <w:rFonts w:ascii="Times New Roman" w:hAnsi="Times New Roman"/>
          <w:sz w:val="20"/>
        </w:rPr>
      </w:pPr>
      <w:r>
        <w:rPr>
          <w:rFonts w:ascii="Times New Roman" w:hAnsi="Times New Roman"/>
          <w:sz w:val="20"/>
        </w:rPr>
        <w:t xml:space="preserve">The independent directors, as a group, meet in executive session on a regular basis in connection with each Board meeting without any members of our management present.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 Nominations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solicits and receives recommendations for candidates to fill any Board vacancies, reviews the qualifications of potential director candidates and recommends candidates to the full Board for consideration. For so long as the A&amp;R Stockholders Agreement (as defined under “Certain Relationships and Related Party Transactions – Stockholders Agreement”) remains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effect, the Nominating and Corporate Governance Committee is required to ensure that the composition of the Board complies with the procedures set forth in the A&amp;R Stockholders Agreement. The Nominating and Corporate Governance Committee has a process, as set forth in the Nominating and Corporate Governance Committee Charter, for the evaluation of director candidates for the Board. Pursuant to these policies, the Nominating and Corporate Governance Committee considers, in addition to those candidates designated in accordance with the terms of the A&amp;R Stockholders Agreement, candidates recommended by the Nominating and Corporate Governance Committee, by other Board members, by management and by stockholders (pursuant to the procedures described below). The Nominating and Corporate Governance Committee periodically reviews the performance and contributions of individual Board members in connection with the determination to propose a director as a candidate for re-election. If a Board member is a candidate for re-election, then the Nominating and Corporate Governance Committee considers all aspects of such candidate’s qualifications and skills in the context of the Company’s needs at that point in time, as well as such person’s diversity of background and experience and the current composition of the Board and the needs of the Board and the respective committees of the Board. While not an exclusive list, the Nominating and Corporate Governance Committee considers the following important qualifications when evaluating a director candidate: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High standards of personal and professional ethics and integrity;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Proven achievement and competence in the nominee’s field and the ability to exercise sound business judgment;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Skills that are complementary to those of the existing Board;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ability to assist and support management and make significant contributions to the Company’s success;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understanding of the fiduciary responsibilities that is required of a member of the Board and the commitment of time and energy necessary to diligently carry out those responsibilities.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Pursuant to our Amended Bylaws, stockholders may recommend a nominee for consideration by the Board by delivering certain information specified in our Amended Bylaws with respect to the nominee and the proposing stockholder to our Chief Legal Officer and Secretary, at Aveanna Healthcare Holdings Inc., 400 Interstate North Parkway SE, Suite 1600, Atlanta, GA 30339. Our Secretary will forward such information to the Chair of the Nominating and Corporate Governance Committee. </w:t>
      </w:r>
    </w:p>
    <w:p>
      <w:pPr>
        <w:pStyle w:val="TextBody"/>
        <w:bidi w:val="0"/>
        <w:spacing w:before="240" w:after="0"/>
        <w:jc w:val="both"/>
        <w:rPr>
          <w:rFonts w:ascii="Times New Roman" w:hAnsi="Times New Roman"/>
          <w:sz w:val="20"/>
        </w:rPr>
      </w:pPr>
      <w:r>
        <w:rPr>
          <w:rFonts w:ascii="Times New Roman" w:hAnsi="Times New Roman"/>
          <w:sz w:val="20"/>
        </w:rPr>
        <w:t xml:space="preserve">Although we have not adopted a formal policy regarding the consideration of Board candidates recommended by our stockholders, the Board believes that the procedures set forth in our Amended Bylaws are currently sufficient and that the establishment of a formal policy is not necessary. For additional important information regarding stockholder nominations of directors and stockholder proposals, please see the “Other Matters” section of this Proxy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Engagement </w:t>
      </w:r>
    </w:p>
    <w:p>
      <w:pPr>
        <w:pStyle w:val="TextBody"/>
        <w:bidi w:val="0"/>
        <w:spacing w:before="240" w:after="0"/>
        <w:jc w:val="both"/>
        <w:rPr>
          <w:rFonts w:ascii="Times New Roman" w:hAnsi="Times New Roman"/>
          <w:sz w:val="20"/>
        </w:rPr>
      </w:pPr>
      <w:r>
        <w:rPr>
          <w:rFonts w:ascii="Times New Roman" w:hAnsi="Times New Roman"/>
          <w:sz w:val="20"/>
        </w:rPr>
        <w:t xml:space="preserve">Our investor relations program includes regular communication and active engagement with our stockholders throughout the year. We encourage feedback from our stockholders as it relates to our corporate governance, compensation policies and practices for our executives, regulatory developments, industry trends and company strategy. We leverage both in-person and virtual settings to seamlessly connect with investors and analysts on a regular basis to discuss important strategic topics including: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75"/>
        <w:gridCol w:w="110"/>
        <w:gridCol w:w="60"/>
        <w:gridCol w:w="1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financial performance; </w:t>
            </w:r>
          </w:p>
        </w:tc>
      </w:tr>
    </w:tbl>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75"/>
        <w:gridCol w:w="110"/>
        <w:gridCol w:w="60"/>
        <w:gridCol w:w="1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clinical quality;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organic and inorganic growth strategies;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diverse and growing reimbursement structure; </w:t>
            </w:r>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75"/>
        <w:gridCol w:w="110"/>
        <w:gridCol w:w="6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labor trends; and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110"/>
        <w:gridCol w:w="60"/>
        <w:gridCol w:w="1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leverage and liquidity.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Risk Oversight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Board’s Role in Risk Oversight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is responsible for enterprise risk management. Our Board of Directors focuses on the most significant risks facing us, our risk management strategy, and the implementation of risk mitigation strategies by management to address these risks. As a result, at each Board meeting, our Chief Executive Officer and management team address material financial, operational and strategic matters facing the Company. Our Board of Directors is also apprised of material risks in connection with its oversight and approval of particular corporate matters, such as significant transactions.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Company’s Chief Legal Officer and Secretary reports in person to the Audit Committee on at least a quarterly basis to keep the Audit Committee informed regarding legal risks involving the Company and the Company’s risk mitigation efforts with respect to these risks. The Company’s Chief Compliance Officer also reports to the Clinical Quality Committee on at least a quarterly basis regarding compliance and regulatory risks involving the Company and the Company’s efforts to mitigate those risks. </w:t>
      </w:r>
    </w:p>
    <w:p>
      <w:pPr>
        <w:pStyle w:val="TextBody"/>
        <w:bidi w:val="0"/>
        <w:spacing w:before="240" w:after="0"/>
        <w:jc w:val="both"/>
        <w:rPr>
          <w:rFonts w:ascii="Times New Roman" w:hAnsi="Times New Roman"/>
          <w:sz w:val="20"/>
        </w:rPr>
      </w:pPr>
      <w:r>
        <w:rPr>
          <w:rFonts w:ascii="Times New Roman" w:hAnsi="Times New Roman"/>
          <w:sz w:val="20"/>
        </w:rPr>
        <w:t xml:space="preserve">Our cybersecurity risk management is currently independent of enterprise risk management, and our cybersecurity program and related policies are managed by a dedicated Assistant Vice President (“AVP”) of Cybersecurity who reports to our Chief Information Officer (“CIO”), under ultimate oversight by the Audit Committee. The AVP of Cybersecurity leads periodic meetings of our chartered Cybersecurity Steering Committee, which addresses key cyber threats, policy changes, and project updates. The Cybersecurity Steering Committee includes the CIO, other executive-level leaders, and key members of management. At least quarterly, the Audit Committee receives a report of any cybersecurity incidents and other key monitoring metrics from a representative of the Cybersecurity Steering Committee. The Audit Committee will then communicate cyber-related issues with the Board as needed. Our Board monitors our existing cybersecurity program and related policies, including, among other things, the Board’s role within our cybersecurity risk management infrastructure. For additional detail on our cybersecurity risk management, governance and strategy, see Item 1.C. of Part I of our Annual Report on Form 10-K filed with the SEC on March 19, 2026. </w:t>
      </w:r>
    </w:p>
    <w:p>
      <w:pPr>
        <w:pStyle w:val="TextBody"/>
        <w:bidi w:val="0"/>
        <w:spacing w:before="240" w:after="0"/>
        <w:jc w:val="both"/>
        <w:rPr>
          <w:rFonts w:ascii="Times New Roman" w:hAnsi="Times New Roman"/>
          <w:sz w:val="20"/>
        </w:rPr>
      </w:pPr>
      <w:r>
        <w:rPr>
          <w:rFonts w:ascii="Times New Roman" w:hAnsi="Times New Roman"/>
          <w:sz w:val="20"/>
        </w:rPr>
        <w:t xml:space="preserve">The oversight of risk within the organization is an evolving process requiring the Company to continually look for opportunities to further embed systematic enterprise risk management into ongoing business processes across the organization. Our Board of Directors actively encourages management to continue to review and improve its methods of assessing and mitigating risk.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and Social Responsibility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Social Responsibility </w:t>
      </w:r>
    </w:p>
    <w:p>
      <w:pPr>
        <w:pStyle w:val="TextBody"/>
        <w:bidi w:val="0"/>
        <w:spacing w:before="120" w:after="0"/>
        <w:jc w:val="both"/>
        <w:rPr>
          <w:rFonts w:ascii="Times New Roman" w:hAnsi="Times New Roman"/>
          <w:sz w:val="20"/>
        </w:rPr>
      </w:pPr>
      <w:r>
        <w:rPr>
          <w:rFonts w:ascii="Times New Roman" w:hAnsi="Times New Roman"/>
          <w:sz w:val="20"/>
        </w:rPr>
        <w:t xml:space="preserve">Aveanna Healthcare supports the Aveanna Healthcare Relief Fund financially and through volunteer service. The Aveanna Healthcare Relief Fund was originally sponsored by Aveanna Healthcare in its formation back in 2017 as a standalone 501(c)(3) non-profit charity, established to provide support to Aveanna employees in times of need. The Aveanna Healthcare Relief Fund provides financial assistance to Aveanna team members who are facing severe and unmanageable financial hardships caused by unexpected emergencies, such as natural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disasters, serious illness or injury, funeral expenses and other unexpected circumstances. The work that goes into the daily functions of the fund is provided by Aveanna employees who volunteer their time and effort to assist those in need. The Aveanna Relief Fund is supported by employee donations through payroll deduction, Aveanna’s matching contributions on a dollar-for-dollar basis (up to $100,000 annually) and the generous donations from many of our vendor partners.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Human Capital </w:t>
      </w:r>
    </w:p>
    <w:p>
      <w:pPr>
        <w:pStyle w:val="TextBody"/>
        <w:bidi w:val="0"/>
        <w:spacing w:before="240" w:after="0"/>
        <w:jc w:val="both"/>
        <w:rPr>
          <w:rFonts w:ascii="Times New Roman" w:hAnsi="Times New Roman"/>
          <w:sz w:val="20"/>
        </w:rPr>
      </w:pPr>
      <w:r>
        <w:rPr>
          <w:rFonts w:ascii="Times New Roman" w:hAnsi="Times New Roman"/>
          <w:sz w:val="20"/>
        </w:rPr>
        <w:t xml:space="preserve">As of January 3, 2026, we employed approximately 3,500 full-time support staff personnel with the remainder of our approximately 32,000 employees employed on a part-time, temporary, per-diem, or full-time basis. All of our employees work with us on an at-will basis, where permitted by law, and none are union members or subject to any collective bargaining agreements. Our employee engagement survey data, together with other key indicators that we monitor, demonstrate that we enjoy good relationships with our employees. Our human capital resources objectives center around employee engagement, fostering our culture, and leadership development. We maintain and grow our team utilizing proven practices and technologies that help us identify, hire, incentivize and retain our existing employees. We also employ an equity incentive plan to attract, retain, motivate and reward certain employees and directors through the issuance of equity-based incentive compensation awards, and we provide for employee participation in our employee stock purchase plan on a discounted basis, as well as providing cash-based performance bonuses.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Talent Acquisition, Retention and Development </w:t>
      </w:r>
    </w:p>
    <w:p>
      <w:pPr>
        <w:pStyle w:val="TextBody"/>
        <w:bidi w:val="0"/>
        <w:spacing w:before="240" w:after="0"/>
        <w:jc w:val="both"/>
        <w:rPr>
          <w:rFonts w:ascii="Times New Roman" w:hAnsi="Times New Roman"/>
          <w:sz w:val="20"/>
        </w:rPr>
      </w:pPr>
      <w:r>
        <w:rPr>
          <w:rFonts w:ascii="Times New Roman" w:hAnsi="Times New Roman"/>
          <w:sz w:val="20"/>
        </w:rPr>
        <w:t xml:space="preserve">Our strategy is to lead the market by attracting and hiring caregivers with a candidate-focused and technology-driven recruiting experience. We have customized our nationwide recruiting model to localized workforces, and we seek to attract the best clinicians with our powerful mission, unique opportunities to provide one-on-one care in the home with flexible schedules, as well as 24/7 clinical support and electronic charting. We leverage extensive recruiting and employee data to identify, attract, and engage a skilled and diverse talent pool, as well as to assist us to manage, develop and retain our valuable workforce. </w:t>
      </w:r>
    </w:p>
    <w:p>
      <w:pPr>
        <w:pStyle w:val="TextBody"/>
        <w:bidi w:val="0"/>
        <w:spacing w:before="360" w:after="0"/>
        <w:jc w:val="left"/>
        <w:rPr>
          <w:rFonts w:ascii="Times New Roman" w:hAnsi="Times New Roman"/>
          <w:b/>
          <w:sz w:val="20"/>
        </w:rPr>
      </w:pPr>
      <w:r>
        <w:rPr>
          <w:rFonts w:ascii="Times New Roman" w:hAnsi="Times New Roman"/>
          <w:b/>
          <w:sz w:val="20"/>
        </w:rPr>
        <w:t xml:space="preserve">Inclusion and Engagement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Inclusion and Engagement Vision </w:t>
      </w:r>
    </w:p>
    <w:p>
      <w:pPr>
        <w:pStyle w:val="TextBody"/>
        <w:bidi w:val="0"/>
        <w:spacing w:before="240" w:after="0"/>
        <w:jc w:val="both"/>
        <w:rPr>
          <w:rFonts w:ascii="Times New Roman" w:hAnsi="Times New Roman"/>
          <w:sz w:val="20"/>
        </w:rPr>
      </w:pPr>
      <w:r>
        <w:rPr>
          <w:rFonts w:ascii="Times New Roman" w:hAnsi="Times New Roman"/>
          <w:sz w:val="20"/>
        </w:rPr>
        <w:t xml:space="preserve">Aveanna is a company where all employees of various cultures, walks of life and abilities are valued and each has an equal opportunity for growth and success, thereby increasing organizational capacity to achieve our mission to revolutionize the way homecare is delivered - one patient at a time - while preserving and cultivating our culture of corporate and social responsibility.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Stockholder Communications With and Regarding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Stockholders who wish to communicate with our Board of Directors or our Audit Committee should address their communications to such party, in care of our Secretary, who is responsible for promptly disseminating such communications to our Board of Directors or Audit Committee Chair, as appropriate. </w:t>
      </w:r>
    </w:p>
    <w:p>
      <w:pPr>
        <w:pStyle w:val="TextBody"/>
        <w:bidi w:val="0"/>
        <w:spacing w:before="240" w:after="0"/>
        <w:jc w:val="both"/>
        <w:rPr>
          <w:rFonts w:ascii="Times New Roman" w:hAnsi="Times New Roman"/>
          <w:sz w:val="20"/>
        </w:rPr>
      </w:pPr>
      <w:r>
        <w:rPr>
          <w:rFonts w:ascii="Times New Roman" w:hAnsi="Times New Roman"/>
          <w:sz w:val="20"/>
        </w:rPr>
        <w:t xml:space="preserve">All communications with the Board of Directors or the Audit Committee are treated confidentially, and stockholders and other interested parties can remain anonymous when communicating their concerns. Stockholders who would like to submit the name of a person for consideration as a director nominee should address any communication to our Secretary in accordance with the procedures described under the heading “Other Matters — Submission of Shareholder Proposals and Director Nominations for 2027 Annual Meeting,” below. </w:t>
      </w:r>
    </w:p>
    <w:p>
      <w:pPr>
        <w:pStyle w:val="TextBody"/>
        <w:bidi w:val="0"/>
        <w:spacing w:before="240" w:after="0"/>
        <w:jc w:val="both"/>
        <w:rPr>
          <w:rFonts w:ascii="Times New Roman" w:hAnsi="Times New Roman"/>
          <w:b/>
          <w:sz w:val="20"/>
        </w:rPr>
      </w:pPr>
      <w:r>
        <w:rPr>
          <w:rFonts w:ascii="Times New Roman" w:hAnsi="Times New Roman"/>
          <w:b/>
          <w:sz w:val="20"/>
        </w:rPr>
        <w:t xml:space="preserve">Securities Trading Policy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adopted a securities trading policy (the “Securities Trading Policy”) which governs the purchase, sale and/or any other dispositions of the Company’s securities by the Company and its directors, officers and employees and is reasonably designed to promote compliance with insider trading laws, rules and regulations and applicable exchange listing standards. A copy of the Securities Trading Policy is included as Exhibit 19.1 with the Company’s Annual Report on Form </w:t>
      </w:r>
    </w:p>
    <w:p>
      <w:pPr>
        <w:pStyle w:val="TextBody"/>
        <w:bidi w:val="0"/>
        <w:spacing w:before="240" w:after="0"/>
        <w:jc w:val="both"/>
        <w:rPr>
          <w:rFonts w:ascii="Times New Roman" w:hAnsi="Times New Roman"/>
          <w:spacing w:val="0"/>
          <w:sz w:val="20"/>
        </w:rPr>
      </w:pPr>
      <w:r>
        <w:rPr>
          <w:rFonts w:ascii="Times New Roman" w:hAnsi="Times New Roman"/>
          <w:spacing w:val="0"/>
          <w:sz w:val="20"/>
        </w:rPr>
        <w:t>10-K</w:t>
      </w:r>
    </w:p>
    <w:p>
      <w:pPr>
        <w:pStyle w:val="TextBody"/>
        <w:bidi w:val="0"/>
        <w:spacing w:before="240" w:after="0"/>
        <w:jc w:val="both"/>
        <w:rPr>
          <w:rFonts w:ascii="Times New Roman" w:hAnsi="Times New Roman"/>
          <w:sz w:val="20"/>
        </w:rPr>
      </w:pPr>
      <w:r>
        <w:rPr>
          <w:rFonts w:ascii="Times New Roman" w:hAnsi="Times New Roman"/>
          <w:sz w:val="20"/>
        </w:rPr>
        <w:t xml:space="preserve">for the year ended January 3, 2026, filed by the Company under the Exchange Act on March 19, 2026.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z w:val="20"/>
        </w:rPr>
      </w:pPr>
      <w:r>
        <w:rPr>
          <w:rFonts w:ascii="Times New Roman" w:hAnsi="Times New Roman"/>
          <w:b/>
          <w:sz w:val="20"/>
        </w:rPr>
        <w:t xml:space="preserve">CODE OF ETHICAL BUSINESS CONDUCT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sz w:val="20"/>
        </w:rPr>
      </w:pPr>
      <w:r>
        <w:rPr>
          <w:rFonts w:ascii="Times New Roman" w:hAnsi="Times New Roman"/>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www.aveanna.com. In addition, we intend to post on our website all disclosures that are required by law or the Nasdaq listing standards concerning any amendments to, or waivers from, any provision of the code. The information contained on or accessible through our website does not form a part of this Proxy Statement and is not incorporated by reference herein. </w:t>
      </w:r>
    </w:p>
    <w:p>
      <w:pPr>
        <w:pStyle w:val="TextBody"/>
        <w:bidi w:val="0"/>
        <w:spacing w:before="240" w:after="0"/>
        <w:jc w:val="both"/>
        <w:rPr>
          <w:rFonts w:ascii="Times New Roman" w:hAnsi="Times New Roman"/>
          <w:sz w:val="20"/>
        </w:rPr>
      </w:pPr>
      <w:r>
        <w:rPr>
          <w:rFonts w:ascii="Times New Roman" w:hAnsi="Times New Roman"/>
          <w:sz w:val="20"/>
        </w:rPr>
        <w:t xml:space="preserve">The members of our Nominating and Corporate Governance Committee are responsible for the review and consideration of corporate governance practices. </w:t>
      </w:r>
    </w:p>
    <w:p>
      <w:pPr>
        <w:pStyle w:val="TextBody"/>
        <w:bidi w:val="0"/>
        <w:spacing w:before="360" w:after="0"/>
        <w:jc w:val="left"/>
        <w:rPr>
          <w:rFonts w:ascii="Times New Roman" w:hAnsi="Times New Roman"/>
          <w:b/>
          <w:sz w:val="20"/>
        </w:rPr>
      </w:pPr>
      <w:r>
        <w:rPr>
          <w:rFonts w:ascii="Times New Roman" w:hAnsi="Times New Roman"/>
          <w:b/>
          <w:sz w:val="20"/>
        </w:rPr>
        <w:t xml:space="preserve">Members of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Rodney D. Windley (Chair) </w:t>
      </w:r>
    </w:p>
    <w:p>
      <w:pPr>
        <w:pStyle w:val="TextBody"/>
        <w:bidi w:val="0"/>
        <w:spacing w:before="0" w:after="0"/>
        <w:jc w:val="left"/>
        <w:rPr>
          <w:rFonts w:ascii="Times New Roman" w:hAnsi="Times New Roman"/>
          <w:sz w:val="20"/>
        </w:rPr>
      </w:pPr>
      <w:r>
        <w:rPr>
          <w:rFonts w:ascii="Times New Roman" w:hAnsi="Times New Roman"/>
          <w:sz w:val="20"/>
        </w:rPr>
        <w:t xml:space="preserve">Devin O’Reilly </w:t>
      </w:r>
    </w:p>
    <w:p>
      <w:pPr>
        <w:pStyle w:val="TextBody"/>
        <w:bidi w:val="0"/>
        <w:spacing w:before="0" w:after="0"/>
        <w:jc w:val="left"/>
        <w:rPr>
          <w:rFonts w:ascii="Times New Roman" w:hAnsi="Times New Roman"/>
          <w:sz w:val="20"/>
        </w:rPr>
      </w:pPr>
      <w:r>
        <w:rPr>
          <w:rFonts w:ascii="Times New Roman" w:hAnsi="Times New Roman"/>
          <w:sz w:val="20"/>
        </w:rPr>
        <w:t xml:space="preserve">Jeff Shaner </w:t>
      </w:r>
    </w:p>
    <w:p>
      <w:pPr>
        <w:pStyle w:val="TextBody"/>
        <w:bidi w:val="0"/>
        <w:spacing w:before="0" w:after="0"/>
        <w:jc w:val="left"/>
        <w:rPr/>
      </w:pPr>
      <w:r>
        <w:rPr/>
        <w: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798829_6"/>
      <w:bookmarkEnd w:id="7"/>
      <w:r>
        <w:rPr>
          <w:rFonts w:ascii="Times New Roman" w:hAnsi="Times New Roman"/>
          <w:b/>
          <w:sz w:val="20"/>
        </w:rPr>
        <w:t xml:space="preserve">PROPOSAL 2—RATIFICATION OF APPOINTMENT OF </w:t>
      </w:r>
    </w:p>
    <w:p>
      <w:pPr>
        <w:pStyle w:val="TextBody"/>
        <w:bidi w:val="0"/>
        <w:spacing w:before="0" w:after="0"/>
        <w:jc w:val="center"/>
        <w:rPr>
          <w:rFonts w:ascii="Times New Roman" w:hAnsi="Times New Roman"/>
          <w:b/>
          <w:sz w:val="20"/>
        </w:rPr>
      </w:pPr>
      <w:r>
        <w:rPr>
          <w:rFonts w:ascii="Times New Roman" w:hAnsi="Times New Roman"/>
          <w:b/>
          <w:sz w:val="20"/>
        </w:rPr>
        <w:t xml:space="preserve">INDEPENDENT REGISTERED PUBLIC ACCOUNTANTS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of the Board of Directors has appointed Ernst &amp; Young LLP (“Ernst &amp; Young” or “EY”) as the Company’s independent registered public accounting firm for the fiscal year ending January 2, 2027. The submission of this matter for ratification by stockholders is not legally required; however, our Board of Directors believes that such submission is consistent with best practices in corporate governance and is an opportunity for stockholders to provide direct feedback to the Audit Committee and the Board of Directors on an important matter of corporate governance. If the selection is not ratified, the Audit Committee will consider whether it is appropriate to select another independent registered public accounting firm as our Company’s external auditor. Even if the selection is ratified, the Audit Committee in its discretion may select a different independent registered public accounting firm to be our Company’s external auditor at any time during the year if it determines that such a change would be in the best interests of our Company and our stockholders. </w:t>
      </w:r>
    </w:p>
    <w:p>
      <w:pPr>
        <w:pStyle w:val="TextBody"/>
        <w:bidi w:val="0"/>
        <w:spacing w:before="240" w:after="0"/>
        <w:jc w:val="both"/>
        <w:rPr>
          <w:rFonts w:ascii="Times New Roman" w:hAnsi="Times New Roman"/>
          <w:b/>
          <w:sz w:val="20"/>
        </w:rPr>
      </w:pPr>
      <w:r>
        <w:rPr>
          <w:rFonts w:ascii="Times New Roman" w:hAnsi="Times New Roman"/>
          <w:b/>
          <w:sz w:val="20"/>
        </w:rPr>
        <w:t xml:space="preserve">Board of Directors Recommendation </w:t>
      </w:r>
    </w:p>
    <w:p>
      <w:pPr>
        <w:pStyle w:val="TextBody"/>
        <w:bidi w:val="0"/>
        <w:spacing w:before="240" w:after="0"/>
        <w:jc w:val="both"/>
        <w:rPr>
          <w:rFonts w:ascii="Times New Roman" w:hAnsi="Times New Roman"/>
          <w:sz w:val="20"/>
        </w:rPr>
      </w:pPr>
      <w:r>
        <w:rPr>
          <w:rFonts w:ascii="Times New Roman" w:hAnsi="Times New Roman"/>
          <w:sz w:val="20"/>
        </w:rPr>
        <w:t>THE BOARD OF DIRECTORS RECOMMENDS THAT YOU VOTE “</w:t>
      </w:r>
      <w:r>
        <w:rPr>
          <w:rFonts w:ascii="Times New Roman" w:hAnsi="Times New Roman"/>
          <w:b/>
          <w:i/>
          <w:sz w:val="20"/>
        </w:rPr>
        <w:t xml:space="preserve">FOR” </w:t>
      </w:r>
      <w:r>
        <w:rPr>
          <w:rFonts w:ascii="Times New Roman" w:hAnsi="Times New Roman"/>
          <w:sz w:val="20"/>
        </w:rPr>
        <w:t xml:space="preserve">THE RATIFICATION OF THE APPOINTMENT OF ERNST &amp; YOUNG AS OUR INDEPENDENT REGISTERED PUBLIC ACCOUNTANTS FOR THE FISCAL YEAR ENDING JANUARY 2, 2027. </w:t>
      </w:r>
    </w:p>
    <w:p>
      <w:pPr>
        <w:pStyle w:val="TextBody"/>
        <w:bidi w:val="0"/>
        <w:spacing w:before="240" w:after="0"/>
        <w:jc w:val="both"/>
        <w:rPr>
          <w:rFonts w:ascii="Times New Roman" w:hAnsi="Times New Roman"/>
          <w:b/>
          <w:sz w:val="20"/>
        </w:rPr>
      </w:pPr>
      <w:r>
        <w:rPr>
          <w:rFonts w:ascii="Times New Roman" w:hAnsi="Times New Roman"/>
          <w:b/>
          <w:sz w:val="20"/>
        </w:rPr>
        <w:t xml:space="preserve">Vote Required </w:t>
      </w:r>
    </w:p>
    <w:p>
      <w:pPr>
        <w:pStyle w:val="TextBody"/>
        <w:bidi w:val="0"/>
        <w:spacing w:before="240" w:after="0"/>
        <w:jc w:val="both"/>
        <w:rPr>
          <w:rFonts w:ascii="Times New Roman" w:hAnsi="Times New Roman"/>
          <w:sz w:val="20"/>
        </w:rPr>
      </w:pPr>
      <w:r>
        <w:rPr>
          <w:rFonts w:ascii="Times New Roman" w:hAnsi="Times New Roman"/>
          <w:sz w:val="20"/>
        </w:rPr>
        <w:t xml:space="preserve">Approval of this proposal requires the affirmative vote of a majority of the voting power of the shares represented at the Meeting and entitled to vote on the subject matter. </w:t>
      </w:r>
    </w:p>
    <w:p>
      <w:pPr>
        <w:pStyle w:val="TextBody"/>
        <w:bidi w:val="0"/>
        <w:spacing w:before="240" w:after="0"/>
        <w:jc w:val="both"/>
        <w:rPr>
          <w:rFonts w:ascii="Times New Roman" w:hAnsi="Times New Roman"/>
          <w:b/>
          <w:sz w:val="20"/>
        </w:rPr>
      </w:pPr>
      <w:r>
        <w:rPr>
          <w:rFonts w:ascii="Times New Roman" w:hAnsi="Times New Roman"/>
          <w:b/>
          <w:sz w:val="20"/>
        </w:rPr>
        <w:t xml:space="preserve">Ernst &amp; Young Representative—Attendance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A representative of Ernst &amp; Young will be present at the Meeting, will have the opportunity to make a statement and will be available to respond to appropriate questions by stockholders. </w:t>
      </w:r>
    </w:p>
    <w:p>
      <w:pPr>
        <w:pStyle w:val="TextBody"/>
        <w:bidi w:val="0"/>
        <w:spacing w:before="240" w:after="0"/>
        <w:jc w:val="center"/>
        <w:rPr>
          <w:rFonts w:ascii="Times New Roman" w:hAnsi="Times New Roman"/>
          <w:b/>
          <w:sz w:val="20"/>
        </w:rPr>
      </w:pPr>
      <w:bookmarkStart w:id="8" w:name="rom798829_7"/>
      <w:bookmarkEnd w:id="8"/>
      <w:r>
        <w:rPr>
          <w:rFonts w:ascii="Times New Roman" w:hAnsi="Times New Roman"/>
          <w:b/>
          <w:sz w:val="20"/>
        </w:rPr>
        <w:t xml:space="preserve">REPORT OF THE AUDIT COMMITTEE </w:t>
      </w:r>
    </w:p>
    <w:p>
      <w:pPr>
        <w:pStyle w:val="TextBody"/>
        <w:bidi w:val="0"/>
        <w:spacing w:before="240" w:after="0"/>
        <w:jc w:val="both"/>
        <w:rPr>
          <w:rFonts w:ascii="Times New Roman" w:hAnsi="Times New Roman"/>
          <w:b/>
          <w:i/>
          <w:sz w:val="20"/>
        </w:rPr>
      </w:pPr>
      <w:r>
        <w:rPr>
          <w:rFonts w:ascii="Times New Roman" w:hAnsi="Times New Roman"/>
          <w:b/>
          <w:i/>
          <w:sz w:val="20"/>
        </w:rPr>
        <w:t xml:space="preserve">This Report of the Audit Committee does not constitute soliciting material, shall not be deemed filed under the Exchange Act, and shall not be deemed incorporated by reference by any general statement incorporating by reference this Proxy Statement into any filing under the Securities Act of 1933 or the Exchange Act, except to the extent that we incorporate this Report of the Audit Committee by specific reference.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operates under a written charter approved by the Board, a copy of which is available on the Company’s website. The Audit Committee is responsible for oversight of Aveanna’s accounting and financial reporting and internal control processes, and compliance with legal and regulatory requirements. The Audit Committee is currently composed of three directors, all of whom are independent as determined in accordance with the listing standards of Nasdaq and within the meaning of Rule 10A-3 under the Exchange Act. Victor F. Ganzi, Chairman of the Audit Committee, qualifies as an “audit committee financial expert” as such term has been defined in Item 407(d)(5) of Regulation S-K. </w:t>
      </w:r>
    </w:p>
    <w:p>
      <w:pPr>
        <w:pStyle w:val="TextBody"/>
        <w:bidi w:val="0"/>
        <w:spacing w:before="240" w:after="0"/>
        <w:jc w:val="both"/>
        <w:rPr>
          <w:rFonts w:ascii="Times New Roman" w:hAnsi="Times New Roman"/>
          <w:sz w:val="20"/>
        </w:rPr>
      </w:pPr>
      <w:r>
        <w:rPr>
          <w:rFonts w:ascii="Times New Roman" w:hAnsi="Times New Roman"/>
          <w:sz w:val="20"/>
        </w:rPr>
        <w:t xml:space="preserve">In fulfilling its oversight responsibilities, on a quarterly and annual basis, the Audit Committee meets with Ernst &amp; Young, our independent registered public accounting firm, both with and without management present, to review and discuss our quarterly and annual financial statements, related footnotes, and Management’s Discussion and Analysis of Financial Condition and Results of Operations; and to solicit EY’s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feedback and observations as to our overall quality of financial reporting. The Audit Committee has reviewed and discussed with management and EY our audited financial statements for the fiscal year ended January 3, 2026, including a discussion of the acceptability and quality of the accounting principles, the reasonableness of significant accounting judgments, clarity of disclosures in the financial statements, and critical audit matters.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is responsible for the appointment, compensation and oversight of our independent registered public accounting firm. EY has served as our independent registered public accounting firm since 2017. In connection with the required five-year lead audit partner rotation under SEC independence rules, the Audit Committee oversaw the transition of the lead audit partner, who completed his fifth and final year as the lead audit partner for the fiscal year 2025 audit and approved the engagement of the new lead audit partner who will serve as the lead audit partner for the fiscal year 2026 audit. </w:t>
      </w:r>
    </w:p>
    <w:p>
      <w:pPr>
        <w:pStyle w:val="TextBody"/>
        <w:bidi w:val="0"/>
        <w:spacing w:before="240" w:after="0"/>
        <w:jc w:val="both"/>
        <w:rPr>
          <w:rFonts w:ascii="Times New Roman" w:hAnsi="Times New Roman"/>
          <w:sz w:val="20"/>
        </w:rPr>
      </w:pPr>
      <w:r>
        <w:rPr>
          <w:rFonts w:ascii="Times New Roman" w:hAnsi="Times New Roman"/>
          <w:sz w:val="20"/>
        </w:rPr>
        <w:t xml:space="preserve">During the planning phase of the 2025 audit, the Audit Committee discussed with EY the overall scope and planning of the annual audit, including EY’s overall fees. The members of the Audit Committee, or the Chair of the Audit Committee, pursuant to a delegation of authority, reviewed and pre-approved all permissible services by EY. </w:t>
      </w:r>
    </w:p>
    <w:p>
      <w:pPr>
        <w:pStyle w:val="TextBody"/>
        <w:bidi w:val="0"/>
        <w:spacing w:before="240" w:after="0"/>
        <w:jc w:val="both"/>
        <w:rPr>
          <w:rFonts w:ascii="Times New Roman" w:hAnsi="Times New Roman"/>
          <w:sz w:val="20"/>
        </w:rPr>
      </w:pPr>
      <w:r>
        <w:rPr>
          <w:rFonts w:ascii="Times New Roman" w:hAnsi="Times New Roman"/>
          <w:sz w:val="20"/>
        </w:rPr>
        <w:t xml:space="preserve">EY provided to the Audit Committee the written disclosures and the letter required by the Public Company Accounting Oversight Board’s (the “PCAOB”) regarding EY’s independence, and the members of the Audit Committee discussed with EY the firm’s independence from us and our management. The members of the Audit Committee also considered whether EY’s provision to us of any non-audit services is compatible with maintaining EY’s independence. This discussion and disclosure informed the Audit Committee of EY’s independence and assisted the Audit Committee in evaluating that independence. The members of the Audit Committee concluded that EY is independent from us and our management.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also received from and discussed with EY the matters required to be discussed under the applicable requirements of the PCAOB, the SEC and the Audit Committee’s charter. </w:t>
      </w:r>
    </w:p>
    <w:p>
      <w:pPr>
        <w:pStyle w:val="TextBody"/>
        <w:bidi w:val="0"/>
        <w:spacing w:before="240" w:after="0"/>
        <w:jc w:val="both"/>
        <w:rPr>
          <w:rFonts w:ascii="Times New Roman" w:hAnsi="Times New Roman"/>
          <w:sz w:val="20"/>
        </w:rPr>
      </w:pPr>
      <w:r>
        <w:rPr>
          <w:rFonts w:ascii="Times New Roman" w:hAnsi="Times New Roman"/>
          <w:sz w:val="20"/>
        </w:rPr>
        <w:t xml:space="preserve">Based on the review and discussions set forth above, and any additional matters deemed relevant and appropriate by the Audit Committee, the Audit Committee recommended to the Board the inclusion of our audited financial statements in our Annual Report on Form 10-K for the fiscal year ended January 3, 2026. </w:t>
      </w:r>
    </w:p>
    <w:p>
      <w:pPr>
        <w:pStyle w:val="TextBody"/>
        <w:bidi w:val="0"/>
        <w:spacing w:before="240" w:after="0"/>
        <w:jc w:val="both"/>
        <w:rPr>
          <w:rFonts w:ascii="Times New Roman" w:hAnsi="Times New Roman"/>
          <w:sz w:val="20"/>
        </w:rPr>
      </w:pPr>
      <w:r>
        <w:rPr>
          <w:rFonts w:ascii="Times New Roman" w:hAnsi="Times New Roman"/>
          <w:sz w:val="20"/>
        </w:rPr>
        <w:t xml:space="preserve">This report has been approved by the members of the Audit Committee: </w:t>
      </w:r>
    </w:p>
    <w:p>
      <w:pPr>
        <w:pStyle w:val="TextBody"/>
        <w:bidi w:val="0"/>
        <w:spacing w:before="240" w:after="0"/>
        <w:jc w:val="both"/>
        <w:rPr>
          <w:rFonts w:ascii="Times New Roman" w:hAnsi="Times New Roman"/>
          <w:sz w:val="20"/>
        </w:rPr>
      </w:pPr>
      <w:r>
        <w:rPr>
          <w:rFonts w:ascii="Times New Roman" w:hAnsi="Times New Roman"/>
          <w:sz w:val="20"/>
        </w:rPr>
        <w:t xml:space="preserve">Victor F. Ganzi (Chair) </w:t>
      </w:r>
    </w:p>
    <w:p>
      <w:pPr>
        <w:pStyle w:val="TextBody"/>
        <w:bidi w:val="0"/>
        <w:spacing w:before="0" w:after="0"/>
        <w:jc w:val="both"/>
        <w:rPr>
          <w:rFonts w:ascii="Times New Roman" w:hAnsi="Times New Roman"/>
          <w:sz w:val="20"/>
        </w:rPr>
      </w:pPr>
      <w:r>
        <w:rPr>
          <w:rFonts w:ascii="Times New Roman" w:hAnsi="Times New Roman"/>
          <w:sz w:val="20"/>
        </w:rPr>
        <w:t xml:space="preserve">Brent Layton </w:t>
      </w:r>
    </w:p>
    <w:p>
      <w:pPr>
        <w:pStyle w:val="TextBody"/>
        <w:bidi w:val="0"/>
        <w:spacing w:before="0" w:after="0"/>
        <w:jc w:val="both"/>
        <w:rPr>
          <w:rFonts w:ascii="Times New Roman" w:hAnsi="Times New Roman"/>
          <w:sz w:val="20"/>
        </w:rPr>
      </w:pPr>
      <w:r>
        <w:rPr>
          <w:rFonts w:ascii="Times New Roman" w:hAnsi="Times New Roman"/>
          <w:sz w:val="20"/>
        </w:rPr>
        <w:t xml:space="preserve">Steven E. Rodgers </w:t>
      </w:r>
    </w:p>
    <w:p>
      <w:pPr>
        <w:pStyle w:val="TextBody"/>
        <w:bidi w:val="0"/>
        <w:spacing w:before="240" w:after="0"/>
        <w:jc w:val="left"/>
        <w:rPr>
          <w:rFonts w:ascii="Times New Roman" w:hAnsi="Times New Roman"/>
          <w:b/>
          <w:sz w:val="20"/>
        </w:rPr>
      </w:pPr>
      <w:r>
        <w:rPr>
          <w:rFonts w:ascii="Times New Roman" w:hAnsi="Times New Roman"/>
          <w:b/>
          <w:sz w:val="20"/>
        </w:rPr>
        <w:t xml:space="preserve">Fees Paid to Auditors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summarizes the fees billed to us by Ernst &amp; Young for professional services rendered in fiscal years 2025 and 2024. </w:t>
      </w:r>
    </w:p>
    <w:p>
      <w:pPr>
        <w:pStyle w:val="TextBody"/>
        <w:bidi w:val="0"/>
        <w:spacing w:before="0" w:after="0"/>
        <w:jc w:val="left"/>
        <w:rPr/>
      </w:pPr>
      <w:r>
        <w:rPr/>
        <w:t> </w:t>
      </w:r>
    </w:p>
    <w:tbl>
      <w:tblPr>
        <w:tblW w:w="8716" w:type="dxa"/>
        <w:jc w:val="left"/>
        <w:tblInd w:w="0" w:type="dxa"/>
        <w:tblLayout w:type="fixed"/>
        <w:tblCellMar>
          <w:top w:w="0" w:type="dxa"/>
          <w:left w:w="0" w:type="dxa"/>
          <w:bottom w:w="0" w:type="dxa"/>
          <w:right w:w="0" w:type="dxa"/>
        </w:tblCellMar>
      </w:tblPr>
      <w:tblGrid>
        <w:gridCol w:w="1715"/>
        <w:gridCol w:w="120"/>
        <w:gridCol w:w="207"/>
        <w:gridCol w:w="1462"/>
        <w:gridCol w:w="60"/>
        <w:gridCol w:w="120"/>
        <w:gridCol w:w="174"/>
        <w:gridCol w:w="1105"/>
        <w:gridCol w:w="275"/>
        <w:gridCol w:w="60"/>
        <w:gridCol w:w="207"/>
        <w:gridCol w:w="1462"/>
        <w:gridCol w:w="60"/>
        <w:gridCol w:w="120"/>
        <w:gridCol w:w="174"/>
        <w:gridCol w:w="1105"/>
        <w:gridCol w:w="29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Year 2024</w:t>
            </w:r>
          </w:p>
        </w:tc>
        <w:tc>
          <w:tcPr>
            <w:tcW w:w="290" w:type="dxa"/>
            <w:tcBorders/>
            <w:vAlign w:val="center"/>
          </w:tcPr>
          <w:p>
            <w:pPr>
              <w:pStyle w:val="TableContents"/>
              <w:bidi w:val="0"/>
              <w:spacing w:before="0" w:after="283"/>
              <w:jc w:val="left"/>
              <w:rPr/>
            </w:pPr>
            <w:r>
              <w:rPr/>
              <w:t> </w:t>
            </w:r>
          </w:p>
        </w:tc>
      </w:tr>
      <w:tr>
        <w:trPr/>
        <w:tc>
          <w:tcPr>
            <w:tcW w:w="17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20"/>
              </w:rPr>
            </w:pPr>
            <w:r>
              <w:rPr>
                <w:rFonts w:ascii="Times New Roman" w:hAnsi="Times New Roman"/>
                <w:b/>
                <w:sz w:val="20"/>
              </w:rPr>
              <w:t>Fee Category</w:t>
            </w:r>
          </w:p>
        </w:tc>
        <w:tc>
          <w:tcPr>
            <w:tcW w:w="12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Amount ($) 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Percent 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Amount ($) 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Percent </w:t>
            </w:r>
          </w:p>
        </w:tc>
        <w:tc>
          <w:tcPr>
            <w:tcW w:w="290"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849"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c>
          <w:tcPr>
            <w:tcW w:w="1789" w:type="dxa"/>
            <w:gridSpan w:val="4"/>
            <w:tcBorders/>
            <w:vAlign w:val="center"/>
          </w:tcPr>
          <w:p>
            <w:pPr>
              <w:pStyle w:val="TableContents"/>
              <w:bidi w:val="0"/>
              <w:spacing w:before="0" w:after="283"/>
              <w:jc w:val="left"/>
              <w:rPr>
                <w:sz w:val="4"/>
                <w:szCs w:val="4"/>
              </w:rPr>
            </w:pPr>
            <w:r>
              <w:rPr>
                <w:sz w:val="4"/>
                <w:szCs w:val="4"/>
              </w:rPr>
            </w:r>
          </w:p>
        </w:tc>
        <w:tc>
          <w:tcPr>
            <w:tcW w:w="1689"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pPr>
            <w:r>
              <w:rPr/>
              <w:t> </w:t>
            </w:r>
            <w:r>
              <w:rPr>
                <w:rFonts w:ascii="Times New Roman" w:hAnsi="Times New Roman"/>
                <w:sz w:val="20"/>
              </w:rPr>
              <w:t>Audit fees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3,804,500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3,549,500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85</w:t>
            </w:r>
          </w:p>
        </w:tc>
        <w:tc>
          <w:tcPr>
            <w:tcW w:w="290"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pPr>
            <w:r>
              <w:rPr/>
              <w:t> </w:t>
            </w: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849" w:type="dxa"/>
            <w:gridSpan w:val="4"/>
            <w:tcBorders/>
            <w:vAlign w:val="center"/>
          </w:tcPr>
          <w:p>
            <w:pPr>
              <w:pStyle w:val="TableContents"/>
              <w:bidi w:val="0"/>
              <w:spacing w:before="0" w:after="283"/>
              <w:jc w:val="left"/>
              <w:rPr>
                <w:sz w:val="4"/>
                <w:szCs w:val="4"/>
              </w:rPr>
            </w:pPr>
            <w:r>
              <w:rPr>
                <w:sz w:val="4"/>
                <w:szCs w:val="4"/>
              </w:rPr>
            </w:r>
          </w:p>
        </w:tc>
        <w:tc>
          <w:tcPr>
            <w:tcW w:w="1674" w:type="dxa"/>
            <w:gridSpan w:val="4"/>
            <w:tcBorders/>
            <w:vAlign w:val="center"/>
          </w:tcPr>
          <w:p>
            <w:pPr>
              <w:pStyle w:val="TableContents"/>
              <w:bidi w:val="0"/>
              <w:spacing w:before="0" w:after="283"/>
              <w:jc w:val="left"/>
              <w:rPr>
                <w:sz w:val="4"/>
                <w:szCs w:val="4"/>
              </w:rPr>
            </w:pPr>
            <w:r>
              <w:rPr>
                <w:sz w:val="4"/>
                <w:szCs w:val="4"/>
              </w:rPr>
            </w:r>
          </w:p>
        </w:tc>
        <w:tc>
          <w:tcPr>
            <w:tcW w:w="1789" w:type="dxa"/>
            <w:gridSpan w:val="4"/>
            <w:tcBorders/>
            <w:vAlign w:val="center"/>
          </w:tcPr>
          <w:p>
            <w:pPr>
              <w:pStyle w:val="TableContents"/>
              <w:bidi w:val="0"/>
              <w:spacing w:before="0" w:after="283"/>
              <w:jc w:val="left"/>
              <w:rPr>
                <w:sz w:val="4"/>
                <w:szCs w:val="4"/>
              </w:rPr>
            </w:pPr>
            <w:r>
              <w:rPr>
                <w:sz w:val="4"/>
                <w:szCs w:val="4"/>
              </w:rPr>
            </w:r>
          </w:p>
        </w:tc>
        <w:tc>
          <w:tcPr>
            <w:tcW w:w="1689"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pPr>
            <w:r>
              <w:rPr/>
              <w:t> </w:t>
            </w: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1,184,085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618,087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15</w:t>
            </w:r>
          </w:p>
        </w:tc>
        <w:tc>
          <w:tcPr>
            <w:tcW w:w="290"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14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105"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pBdr>
                <w:top w:val="single" w:sz="2" w:space="1" w:color="000000"/>
              </w:pBdr>
              <w:bidi w:val="0"/>
              <w:spacing w:before="0" w:after="0"/>
              <w:jc w:val="left"/>
              <w:rPr/>
            </w:pPr>
            <w:r>
              <w:rPr/>
              <w:t> </w:t>
            </w:r>
          </w:p>
        </w:tc>
        <w:tc>
          <w:tcPr>
            <w:tcW w:w="146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10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pPr>
            <w:r>
              <w:rPr/>
              <w:t> </w:t>
            </w:r>
            <w:r>
              <w:rPr>
                <w:rFonts w:ascii="Times New Roman" w:hAnsi="Times New Roman"/>
                <w:sz w:val="20"/>
              </w:rPr>
              <w:t>Total fees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4,988,585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4,167,587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Audit fees included fees associated with the annual audit, including the audit of internal controls over financial reporting, the reviews of our Quarterly Reports on Form 10-Q, and services that are normally provided by our registered independent public accounting firm in connection with statutory and regulatory filings or engagements and that generally only our registered independent public accounting firm can provide. Audit- related fees are fees for services performed during the respective years by the independent registered public accounting firm for assurance and related services not reported under the caption “Audit fees” in the tables above. Tax fees included tax compliance and limited tax consulting services. All of the services described above were pre-approved by the Audit Committee (or the Chair of the Audit Committee, pursuant to a delegation of authority). </w:t>
      </w:r>
    </w:p>
    <w:p>
      <w:pPr>
        <w:pStyle w:val="TextBody"/>
        <w:bidi w:val="0"/>
        <w:spacing w:before="360" w:after="0"/>
        <w:jc w:val="both"/>
        <w:rPr>
          <w:rFonts w:ascii="Times New Roman" w:hAnsi="Times New Roman"/>
          <w:b/>
          <w:sz w:val="20"/>
        </w:rPr>
      </w:pPr>
      <w:r>
        <w:rPr>
          <w:rFonts w:ascii="Times New Roman" w:hAnsi="Times New Roman"/>
          <w:b/>
          <w:sz w:val="20"/>
        </w:rPr>
        <w:t xml:space="preserve">Policy on Pre-Approval of Audit and Permissible Non-Audit Services of Independent Auditors; Delegation of Pre-Approval Authority in Specified Instances </w:t>
      </w:r>
    </w:p>
    <w:p>
      <w:pPr>
        <w:pStyle w:val="TextBody"/>
        <w:bidi w:val="0"/>
        <w:spacing w:before="240" w:after="0"/>
        <w:jc w:val="both"/>
        <w:rPr>
          <w:rFonts w:ascii="Times New Roman" w:hAnsi="Times New Roman"/>
          <w:sz w:val="20"/>
        </w:rPr>
      </w:pPr>
      <w:r>
        <w:rPr>
          <w:rFonts w:ascii="Times New Roman" w:hAnsi="Times New Roman"/>
          <w:sz w:val="20"/>
        </w:rPr>
        <w:t xml:space="preserve">All audit and permissible non-audit services provided by the independent auditors are pre-approved by the Audit Committee (or the Chair of the Audit Committee, pursuant to a delegation of authority). These services may include audit services, audit-related services, tax services and other services. Pre-approval is generally provided for up to one year and any pre-approval is detailed as to the particular service or category of services and is generally subject to a specific budget. The independent auditors and management are required to periodically report to the Audit Committee regarding the extent of services provided by the independent auditors in accordance with this pre-approval, and the fees for the services performed to date. The Audit Committee may also pre-approve particular services on a case-by-case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798829_8"/>
      <w:bookmarkEnd w:id="9"/>
      <w:r>
        <w:rPr>
          <w:rFonts w:ascii="Times New Roman" w:hAnsi="Times New Roman"/>
          <w:b/>
          <w:sz w:val="20"/>
        </w:rPr>
        <w:t xml:space="preserve">STOCK OWNERSHIP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beneficial ownership of our common stock as of April 6, 2026, unless otherwise indicated, by (i) each person known by us to beneficially own more than five percent of our common stock, (ii) each of our directors, director nominees, and Named Executive Officers (as such term is defined under the heading “Compensation Discussion and Analysis” below), and (iii) all of our directors and executive officers as a group. Except as noted below, the persons named have sole voting and investment power with respect to all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or entity has beneficial ownership of a security if such person or entity possesses sole or shared voting or investment power over that security, including options and other convertible securities that are either currently exercisable or will become exercisable within 60 days. In computing the number of shares beneficially owned by a person or entity and the percentage ownership of that person or entity in the table below, all shares subject to options and restricted stock units held by such person or entity were deemed outstanding if such securities are currently exercisable, or will become exercisable or will vest within 60 days following April 6, 2026. These shares were not deemed outstanding, however, for the purpose of computing the percentage ownership of any other person or entity. </w:t>
      </w:r>
    </w:p>
    <w:p>
      <w:pPr>
        <w:pStyle w:val="TextBody"/>
        <w:bidi w:val="0"/>
        <w:spacing w:before="240" w:after="0"/>
        <w:jc w:val="both"/>
        <w:rPr>
          <w:rFonts w:ascii="Times New Roman" w:hAnsi="Times New Roman"/>
          <w:sz w:val="20"/>
        </w:rPr>
      </w:pPr>
      <w:r>
        <w:rPr>
          <w:rFonts w:ascii="Times New Roman" w:hAnsi="Times New Roman"/>
          <w:sz w:val="20"/>
        </w:rPr>
        <w:t xml:space="preserve">The beneficial ownership of our common stock is based on 217,510,046 shares of our common stock outstanding as of April 6, 2026.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of each of the individuals named in the table below under “Directors and Named Executive Officers” is c/o Aveanna Healthcare Holdings Inc., 400 Interstate North Parkway SE, Atlanta, Georgia 30339. </w:t>
      </w:r>
    </w:p>
    <w:p>
      <w:pPr>
        <w:pStyle w:val="TextBody"/>
        <w:bidi w:val="0"/>
        <w:spacing w:before="0" w:after="0"/>
        <w:jc w:val="left"/>
        <w:rPr/>
      </w:pPr>
      <w:r>
        <w:rPr/>
        <w:t> </w:t>
      </w:r>
    </w:p>
    <w:tbl>
      <w:tblPr>
        <w:tblW w:w="8453" w:type="dxa"/>
        <w:jc w:val="left"/>
        <w:tblInd w:w="0" w:type="dxa"/>
        <w:tblLayout w:type="fixed"/>
        <w:tblCellMar>
          <w:top w:w="0" w:type="dxa"/>
          <w:left w:w="0" w:type="dxa"/>
          <w:bottom w:w="0" w:type="dxa"/>
          <w:right w:w="0" w:type="dxa"/>
        </w:tblCellMar>
      </w:tblPr>
      <w:tblGrid>
        <w:gridCol w:w="5900"/>
        <w:gridCol w:w="120"/>
        <w:gridCol w:w="60"/>
        <w:gridCol w:w="60"/>
        <w:gridCol w:w="1100"/>
        <w:gridCol w:w="23"/>
        <w:gridCol w:w="120"/>
        <w:gridCol w:w="101"/>
        <w:gridCol w:w="101"/>
        <w:gridCol w:w="741"/>
        <w:gridCol w:w="127"/>
      </w:tblGrid>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left"/>
              <w:rPr/>
            </w:pPr>
            <w:r>
              <w:rPr/>
              <w:t> </w:t>
            </w:r>
            <w:r>
              <w:rPr/>
              <w:t>Name of Beneficial Owner</w:t>
            </w:r>
          </w:p>
        </w:tc>
        <w:tc>
          <w:tcPr>
            <w:tcW w:w="120" w:type="dxa"/>
            <w:tcBorders/>
            <w:vAlign w:val="center"/>
          </w:tcPr>
          <w:p>
            <w:pPr>
              <w:pStyle w:val="TableContents"/>
              <w:bidi w:val="0"/>
              <w:spacing w:before="0" w:after="283"/>
              <w:jc w:val="left"/>
              <w:rPr/>
            </w:pPr>
            <w:r>
              <w:rPr/>
              <w:t>  </w:t>
            </w:r>
          </w:p>
        </w:tc>
        <w:tc>
          <w:tcPr>
            <w:tcW w:w="1243" w:type="dxa"/>
            <w:gridSpan w:val="4"/>
            <w:tcBorders/>
            <w:vAlign w:val="center"/>
          </w:tcPr>
          <w:p>
            <w:pPr>
              <w:pStyle w:val="TableContents"/>
              <w:bidi w:val="0"/>
              <w:spacing w:before="0" w:after="283"/>
              <w:jc w:val="left"/>
              <w:rPr/>
            </w:pPr>
            <w:r>
              <w:rPr/>
              <w:t>Shares</w:t>
            </w:r>
          </w:p>
        </w:tc>
        <w:tc>
          <w:tcPr>
            <w:tcW w:w="120" w:type="dxa"/>
            <w:tcBorders/>
            <w:vAlign w:val="center"/>
          </w:tcPr>
          <w:p>
            <w:pPr>
              <w:pStyle w:val="TableContents"/>
              <w:bidi w:val="0"/>
              <w:spacing w:before="0" w:after="283"/>
              <w:jc w:val="left"/>
              <w:rPr/>
            </w:pPr>
            <w:r>
              <w:rPr/>
              <w:t>  </w:t>
            </w:r>
          </w:p>
        </w:tc>
        <w:tc>
          <w:tcPr>
            <w:tcW w:w="1070" w:type="dxa"/>
            <w:gridSpan w:val="4"/>
            <w:tcBorders/>
            <w:vAlign w:val="center"/>
          </w:tcPr>
          <w:p>
            <w:pPr>
              <w:pStyle w:val="TableContents"/>
              <w:bidi w:val="0"/>
              <w:spacing w:before="0" w:after="283"/>
              <w:jc w:val="left"/>
              <w:rPr/>
            </w:pPr>
            <w:r>
              <w:rPr/>
              <w:t>Percentage</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pPr>
            <w:r>
              <w:rPr/>
              <w:t> </w:t>
            </w:r>
            <w:r>
              <w:rPr>
                <w:rFonts w:ascii="Times New Roman" w:hAnsi="Times New Roman"/>
                <w:b/>
                <w:sz w:val="20"/>
              </w:rPr>
              <w:t>5% Stockholders: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before="0" w:after="283"/>
              <w:jc w:val="left"/>
              <w:rPr>
                <w:sz w:val="4"/>
                <w:szCs w:val="4"/>
              </w:rPr>
            </w:pPr>
            <w:r>
              <w:rPr>
                <w:sz w:val="4"/>
                <w:szCs w:val="4"/>
              </w:rPr>
            </w:r>
          </w:p>
        </w:tc>
        <w:tc>
          <w:tcPr>
            <w:tcW w:w="127" w:type="dxa"/>
            <w:tcBorders/>
            <w:shd w:fill="CCEEFF" w:val="clear"/>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pPr>
            <w:r>
              <w:rPr/>
              <w:t> </w:t>
            </w:r>
            <w:r>
              <w:rPr>
                <w:rFonts w:ascii="Times New Roman" w:hAnsi="Times New Roman"/>
                <w:sz w:val="20"/>
              </w:rPr>
              <w:t>Entities affiliated with Bain Capital Investors, LLC (1)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81,600,880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37.5%</w:t>
            </w:r>
          </w:p>
        </w:tc>
        <w:tc>
          <w:tcPr>
            <w:tcW w:w="127"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pPr>
            <w:r>
              <w:rPr/>
              <w:t> </w:t>
            </w:r>
            <w:r>
              <w:rPr>
                <w:rFonts w:ascii="Times New Roman" w:hAnsi="Times New Roman"/>
                <w:sz w:val="20"/>
              </w:rPr>
              <w:t>J.H. Whitney Equity Partners VII (2)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40,065,892</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18.4%</w:t>
            </w:r>
          </w:p>
        </w:tc>
        <w:tc>
          <w:tcPr>
            <w:tcW w:w="127"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pPr>
            <w:r>
              <w:rPr/>
              <w:t> </w:t>
            </w:r>
            <w:r>
              <w:rPr>
                <w:rFonts w:ascii="Times New Roman" w:hAnsi="Times New Roman"/>
                <w:sz w:val="20"/>
              </w:rPr>
              <w:t>Nut Tree Capital Management, LP (3)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12,372,649</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5.7%</w:t>
            </w:r>
          </w:p>
        </w:tc>
        <w:tc>
          <w:tcPr>
            <w:tcW w:w="127"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pPr>
            <w:r>
              <w:rPr/>
              <w:t> </w:t>
            </w:r>
            <w:r>
              <w:rPr>
                <w:rFonts w:ascii="Times New Roman" w:hAnsi="Times New Roman"/>
                <w:b/>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before="0" w:after="283"/>
              <w:jc w:val="left"/>
              <w:rPr>
                <w:sz w:val="4"/>
                <w:szCs w:val="4"/>
              </w:rPr>
            </w:pPr>
            <w:r>
              <w:rPr>
                <w:sz w:val="4"/>
                <w:szCs w:val="4"/>
              </w:rPr>
            </w:r>
          </w:p>
        </w:tc>
        <w:tc>
          <w:tcPr>
            <w:tcW w:w="127" w:type="dxa"/>
            <w:tcBorders/>
            <w:shd w:fill="CCEEFF" w:val="clear"/>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pPr>
            <w:r>
              <w:rPr/>
              <w:t> </w:t>
            </w:r>
            <w:r>
              <w:rPr>
                <w:rFonts w:ascii="Times New Roman" w:hAnsi="Times New Roman"/>
                <w:sz w:val="20"/>
              </w:rPr>
              <w:t>Rodney D. Windley (4)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4,153,227</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1.9%</w:t>
            </w:r>
          </w:p>
        </w:tc>
        <w:tc>
          <w:tcPr>
            <w:tcW w:w="127"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pPr>
            <w:r>
              <w:rPr/>
              <w:t> </w:t>
            </w:r>
            <w:r>
              <w:rPr>
                <w:rFonts w:ascii="Times New Roman" w:hAnsi="Times New Roman"/>
                <w:sz w:val="20"/>
              </w:rPr>
              <w:t>Jeffrey Shaner (5)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3,620,446</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1.6%</w:t>
            </w:r>
          </w:p>
        </w:tc>
        <w:tc>
          <w:tcPr>
            <w:tcW w:w="127"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pPr>
            <w:r>
              <w:rPr/>
              <w:t> </w:t>
            </w:r>
            <w:r>
              <w:rPr>
                <w:rFonts w:ascii="Times New Roman" w:hAnsi="Times New Roman"/>
                <w:sz w:val="20"/>
              </w:rPr>
              <w:t>Ed Reisz (6)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1,948,444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pPr>
            <w:r>
              <w:rPr/>
              <w:t> </w:t>
            </w:r>
            <w:r>
              <w:rPr>
                <w:rFonts w:ascii="Times New Roman" w:hAnsi="Times New Roman"/>
                <w:sz w:val="20"/>
              </w:rPr>
              <w:t>Matthew Buckhalter (7)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286,655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pPr>
            <w:r>
              <w:rPr/>
              <w:t> </w:t>
            </w:r>
            <w:r>
              <w:rPr>
                <w:rFonts w:ascii="Times New Roman" w:hAnsi="Times New Roman"/>
                <w:sz w:val="20"/>
              </w:rPr>
              <w:t>Victor F. Ganzi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483,606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pPr>
            <w:r>
              <w:rPr/>
              <w:t> </w:t>
            </w:r>
            <w:r>
              <w:rPr>
                <w:rFonts w:ascii="Times New Roman" w:hAnsi="Times New Roman"/>
                <w:sz w:val="20"/>
              </w:rPr>
              <w:t>Brent Layton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35,342</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pPr>
            <w:r>
              <w:rPr/>
              <w:t> </w:t>
            </w:r>
            <w:r>
              <w:rPr>
                <w:rFonts w:ascii="Times New Roman" w:hAnsi="Times New Roman"/>
                <w:sz w:val="20"/>
              </w:rPr>
              <w:t>Devin O’Reilly (8)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pPr>
            <w:r>
              <w:rPr/>
              <w:t> </w:t>
            </w:r>
            <w:r>
              <w:rPr>
                <w:rFonts w:ascii="Times New Roman" w:hAnsi="Times New Roman"/>
                <w:sz w:val="20"/>
              </w:rPr>
              <w:t>Steven E. Rodgers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293,498</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pPr>
            <w:r>
              <w:rPr/>
              <w:t> </w:t>
            </w:r>
            <w:r>
              <w:rPr>
                <w:rFonts w:ascii="Times New Roman" w:hAnsi="Times New Roman"/>
                <w:sz w:val="20"/>
              </w:rPr>
              <w:t>Erica Schwartz, M.D., J.D., M.P.H.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257,498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shd w:fill="CCEEFF" w:val="clear"/>
            <w:vAlign w:val="center"/>
          </w:tcPr>
          <w:p>
            <w:pPr>
              <w:pStyle w:val="TableContents"/>
              <w:bidi w:val="0"/>
              <w:spacing w:before="0" w:after="0"/>
              <w:jc w:val="left"/>
              <w:rPr/>
            </w:pPr>
            <w:r>
              <w:rPr/>
              <w:t> </w:t>
            </w:r>
            <w:r>
              <w:rPr>
                <w:rFonts w:ascii="Times New Roman" w:hAnsi="Times New Roman"/>
                <w:sz w:val="20"/>
              </w:rPr>
              <w:t>Sam Weil (8)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190" w:type="dxa"/>
            <w:gridSpan w:val="5"/>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0"/>
              <w:jc w:val="left"/>
              <w:rPr/>
            </w:pPr>
            <w:r>
              <w:rPr/>
              <w:t> </w:t>
            </w:r>
            <w:r>
              <w:rPr>
                <w:rFonts w:ascii="Times New Roman" w:hAnsi="Times New Roman"/>
                <w:sz w:val="20"/>
              </w:rPr>
              <w:t>All directors and current executive officers as a group (13 persons) (9)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11,774,259</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pPr>
            <w:r>
              <w:rPr/>
              <w:t>5.3%</w:t>
            </w:r>
          </w:p>
        </w:tc>
        <w:tc>
          <w:tcPr>
            <w:tcW w:w="12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305"/>
        <w:gridCol w:w="1835"/>
      </w:tblGrid>
      <w:tr>
        <w:trPr/>
        <w:tc>
          <w:tcPr>
            <w:tcW w:w="30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information as to this beneficial ownership with respect to the number of shares beneficially owned by entities affiliated with Bain Capital Investors, LLC is derived from its 13G filed with the Securities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Exchange Commission on February 14, 2022. The Schedule 13G contained information as of December 31, 2021, and may not reflect current holdings of our shares. Includes 81,600,880 shares registered in the name of BCPE Eagle Investor, LP, (“BCPE Eagle Investor”). Bain Capital Fund XI, L.P., a Cayman Islands exempted limited partnership (“Fund XI”), is the sole member of BCPE Eagle GP, LLC, a Delaware limited liability company (“BCPE Eagle GP”), which is the general partner of BCPE Eagle Investor. Bain Capital Partners XI, L.P., a Cayman Islands exempted limited partnership (“Partners XI”), is the general partner of Fund XI. Bain Capital Investors, LLC, a Delaware limited liability company (“BCI” and collectively with BCPE Eagle Investor, BCPE Eagle GP, Fund XI and Partners XI, the “Bain Capital Entities”), is the general partner of Partners XI. As a result, BCI may be deemed to share voting and dispositive power with respect to the securities held by BCPE Eagle Investor. Each of the Bain Capital Entities has an address c/o Bain Capital Private Equity, LP, 200 Clarendon Street, Boston, Massachusetts 02116.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information as to this beneficial ownership with respect to the number of shares beneficially owned by entities affiliated with J.H. Whitney Equity Partners VII, LLC is derived from its 13G/A filed with the Securities and Exchange Commission on February 10, 2026. The Schedule 13G/A contained information as of December 31, 2025, and may not reflect current holdings of our shares. Includes (i) 19,292,787 shares registered in the name of J.H. Whitney VII, L.P., (ii) 15,523,810 shares registered in the name of PSA Healthcare Investment Holding LLC, (iii) 1,426,034 shares registered in the name of PSA Iliad Holdings LLC (together, the “J.H. Whitney Entities”), (iv) 3,460,515 shares held by JHW Iliad Holdings LLC (“JHW Iliad”), and (v) 362,746 shares held by JHW Iliad Holdings II LLC (“JHW Iliad II”). Project Iliad Managing Member, LLC (“Project Iliad”) is the managing member of JHW Iliad. J.H. Whitney Capital Partners, LLC (“JHW Capital Partners”) is the sole member of J.H. Whitney VII Management Co., LLC (“JHW Management Co. VII”), which is the managing member of JHW Iliad II. The governance, investment strategy and decision-making process with respect to investments held by the J.H. Whitney Entities is directed by J.H. Whitney Equity Partners VII, LLC. As a result, J.H. Whitney Equity Partners VII, LLC may be deemed to share voting and dispositive power with respect to the shares held by the J.H. Whitney Entities. Each of the J.H. Whitney Entities has an address c/o J.H. Whitney Capital Partners, LLC, 212 Elm Street, New Canaan, Connecticut 06840.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information as to this beneficial ownership with respect to the number of shares beneficially owned by Nut Tree Capital Management, LP (“Nut Tree Capital Management”) is derived from its 13G filed with the Securities and Exchange Commission on February 14, 2024. The Schedule 13G contained information as of December 31, 2023, and may not reflect current holdings of our shares. Such Schedule relates to shares held by Nut Tree Master Fund, LP (“Nut Tree Master Fund”). Nut Tree Capital Management serves as investment advisor to Nut Tree Master Fund. Nut Tree Capital Management GP, LLC (Nut Tree Capital Management GP”) serves as a general partner of Nut Tree Capital Management. Mr. Jared R. Nussbaum serves as Chief Investment Officer and managing partner of Nut Tree Capital Management and is the sole member of Nut Tree Capital Management GP. The address for this beneficial owner is 55 Hudson Yards, 22nd Floor, New York, New York 10001. </w:t>
            </w:r>
          </w:p>
        </w:tc>
      </w:tr>
    </w:tbl>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(4)</w:t>
            </w:r>
          </w:p>
        </w:tc>
        <w:tc>
          <w:tcPr>
            <w:tcW w:w="4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1,916,648 shares issuable upon exercise of options. </w:t>
            </w:r>
          </w:p>
        </w:tc>
      </w:tr>
    </w:tbl>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(5)</w:t>
            </w:r>
          </w:p>
        </w:tc>
        <w:tc>
          <w:tcPr>
            <w:tcW w:w="4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1,916,648 shares issuable upon exercise of options. </w:t>
            </w:r>
          </w:p>
        </w:tc>
      </w:tr>
    </w:tbl>
    <w:tbl>
      <w:tblPr>
        <w:tblW w:w="5125" w:type="dxa"/>
        <w:jc w:val="left"/>
        <w:tblInd w:w="0" w:type="dxa"/>
        <w:tblLayout w:type="fixed"/>
        <w:tblCellMar>
          <w:top w:w="0" w:type="dxa"/>
          <w:left w:w="0" w:type="dxa"/>
          <w:bottom w:w="0" w:type="dxa"/>
          <w:right w:w="0" w:type="dxa"/>
        </w:tblCellMar>
      </w:tblPr>
      <w:tblGrid>
        <w:gridCol w:w="305"/>
        <w:gridCol w:w="4820"/>
      </w:tblGrid>
      <w:tr>
        <w:trPr/>
        <w:tc>
          <w:tcPr>
            <w:tcW w:w="305" w:type="dxa"/>
            <w:tcBorders/>
            <w:vAlign w:val="center"/>
          </w:tcPr>
          <w:p>
            <w:pPr>
              <w:pStyle w:val="TableContents"/>
              <w:bidi w:val="0"/>
              <w:spacing w:before="0" w:after="283"/>
              <w:jc w:val="left"/>
              <w:rPr/>
            </w:pPr>
            <w:r>
              <w:rPr/>
              <w:t>(6)</w:t>
            </w:r>
          </w:p>
        </w:tc>
        <w:tc>
          <w:tcPr>
            <w:tcW w:w="4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761,120 shares issuable upon exercise of options. </w:t>
            </w:r>
          </w:p>
        </w:tc>
      </w:tr>
    </w:tbl>
    <w:tbl>
      <w:tblPr>
        <w:tblW w:w="5020" w:type="dxa"/>
        <w:jc w:val="left"/>
        <w:tblInd w:w="0" w:type="dxa"/>
        <w:tblLayout w:type="fixed"/>
        <w:tblCellMar>
          <w:top w:w="0" w:type="dxa"/>
          <w:left w:w="0" w:type="dxa"/>
          <w:bottom w:w="0" w:type="dxa"/>
          <w:right w:w="0" w:type="dxa"/>
        </w:tblCellMar>
      </w:tblPr>
      <w:tblGrid>
        <w:gridCol w:w="305"/>
        <w:gridCol w:w="4715"/>
      </w:tblGrid>
      <w:tr>
        <w:trPr/>
        <w:tc>
          <w:tcPr>
            <w:tcW w:w="305" w:type="dxa"/>
            <w:tcBorders/>
            <w:vAlign w:val="center"/>
          </w:tcPr>
          <w:p>
            <w:pPr>
              <w:pStyle w:val="TableContents"/>
              <w:bidi w:val="0"/>
              <w:spacing w:before="0" w:after="283"/>
              <w:jc w:val="left"/>
              <w:rPr/>
            </w:pPr>
            <w:r>
              <w:rPr/>
              <w:t>(7)</w:t>
            </w:r>
          </w:p>
        </w:tc>
        <w:tc>
          <w:tcPr>
            <w:tcW w:w="47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52,047 shares issuable upon exercise of options.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(8)</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Does not include shares held by the Bain Capital Entities. Each of Mr. O’Reilly and Mr. Weil is a partner of BCI. As a result, by virtue of the relationships described in footnote 1 above, Messrs. O’Reilly and Weil may be deemed to share beneficial ownership of the shares held by the Bain Capital Entities. The address for Messrs. O’Reilly and Weil is c/o Bain Capital Private Equity, LP, 200 Clarendon Street, Boston, Massachusetts 02116. </w:t>
            </w:r>
          </w:p>
        </w:tc>
      </w:tr>
    </w:tbl>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(9)</w:t>
            </w:r>
          </w:p>
        </w:tc>
        <w:tc>
          <w:tcPr>
            <w:tcW w:w="4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4,849,937 shares issuable upon exercise of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798829_9"/>
      <w:bookmarkEnd w:id="10"/>
      <w:r>
        <w:rPr>
          <w:rFonts w:ascii="Times New Roman" w:hAnsi="Times New Roman"/>
          <w:b/>
          <w:sz w:val="20"/>
        </w:rPr>
        <w:t xml:space="preserve">DELINQUENT SECTION 16(a) REPORTS </w:t>
      </w:r>
    </w:p>
    <w:p>
      <w:pPr>
        <w:pStyle w:val="TextBody"/>
        <w:bidi w:val="0"/>
        <w:spacing w:before="240" w:after="0"/>
        <w:jc w:val="both"/>
        <w:rPr>
          <w:rFonts w:ascii="Times New Roman" w:hAnsi="Times New Roman"/>
          <w:sz w:val="20"/>
        </w:rPr>
      </w:pPr>
      <w:r>
        <w:rPr>
          <w:rFonts w:ascii="Times New Roman" w:hAnsi="Times New Roman"/>
          <w:sz w:val="20"/>
        </w:rPr>
        <w:t xml:space="preserve">Section 16(a) of the Exchange Act requires our directors and executive officers, and persons who own more than ten percent of our common stock to file reports of ownership and changes of ownership with the SEC. Copies of all filed reports are required to be furnished to us. Based solely upon a review of Forms 3, 4 and 5 and amendments thereto furnished to us during and with respect to fiscal year 2025, as well as written representations by our directors and executive officers, we believe that each such person filed, on a timely basis, the reports required by Section 16(a) of the Exchange Act with respect to fiscal year 2025, except that for Mr. Weil one Form 3 reporting his initial beneficial ownership was inadvertently filed late on March 18, 2026 due to administrative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798829_10"/>
      <w:bookmarkEnd w:id="11"/>
      <w:r>
        <w:rPr>
          <w:rFonts w:ascii="Times New Roman" w:hAnsi="Times New Roman"/>
          <w:b/>
          <w:sz w:val="20"/>
        </w:rPr>
        <w:t xml:space="preserve">EQUITY COMPENSATION PLAN INFORMATION AS OF JANUARY 3, 2026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information about awards outstanding and shares remaining available under our equity compensation plans (including any individual compensation arrangements) as of January 3, 2026.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3635"/>
        <w:gridCol w:w="120"/>
        <w:gridCol w:w="96"/>
        <w:gridCol w:w="1769"/>
        <w:gridCol w:w="60"/>
        <w:gridCol w:w="120"/>
        <w:gridCol w:w="200"/>
        <w:gridCol w:w="1470"/>
        <w:gridCol w:w="60"/>
        <w:gridCol w:w="120"/>
        <w:gridCol w:w="101"/>
        <w:gridCol w:w="1869"/>
        <w:gridCol w:w="365"/>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35" w:type="dxa"/>
            <w:tcBorders/>
            <w:vAlign w:val="center"/>
          </w:tcPr>
          <w:p>
            <w:pPr>
              <w:pStyle w:val="TableContents"/>
              <w:bidi w:val="0"/>
              <w:spacing w:before="0" w:after="283"/>
              <w:jc w:val="left"/>
              <w:rPr/>
            </w:pPr>
            <w:r>
              <w:rPr/>
              <w:t> </w:t>
            </w:r>
            <w:r>
              <w:rPr>
                <w:b/>
              </w:rPr>
              <w:t>Plan Category</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283"/>
              <w:jc w:val="center"/>
              <w:rPr>
                <w:b/>
              </w:rPr>
            </w:pPr>
            <w:r>
              <w:rPr>
                <w:b/>
              </w:rPr>
              <w:t>Number of</w:t>
              <w:br/>
              <w:t>securities to be</w:t>
              <w:br/>
              <w:t>issued upon</w:t>
              <w:br/>
              <w:t>exercise of</w:t>
              <w:br/>
              <w:t>outstanding</w:t>
              <w:br/>
              <w:t>options, warrants,</w:t>
              <w:br/>
              <w:t>and rights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Weighted-</w:t>
              <w:br/>
              <w:t>average exercise</w:t>
              <w:br/>
              <w:t>price of</w:t>
              <w:br/>
              <w:t>outstanding</w:t>
              <w:br/>
              <w:t>options,</w:t>
              <w:br/>
              <w:t>warrants, and</w:t>
              <w:br/>
              <w:t>rights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gridSpan w:val="2"/>
            <w:tcBorders/>
            <w:vAlign w:val="center"/>
          </w:tcPr>
          <w:p>
            <w:pPr>
              <w:pStyle w:val="TableContents"/>
              <w:bidi w:val="0"/>
              <w:spacing w:before="0" w:after="283"/>
              <w:jc w:val="center"/>
              <w:rPr>
                <w:b/>
              </w:rPr>
            </w:pPr>
            <w:r>
              <w:rPr>
                <w:b/>
              </w:rPr>
              <w:t>Number of</w:t>
              <w:br/>
              <w:t>securities</w:t>
              <w:br/>
              <w:t>remaining</w:t>
              <w:br/>
              <w:t>available for future</w:t>
              <w:br/>
              <w:t>issuance under</w:t>
              <w:br/>
              <w:t>equity</w:t>
              <w:br/>
              <w:t>compensation</w:t>
              <w:br/>
              <w:t>plans (excluding</w:t>
              <w:br/>
              <w:t>securities reflected</w:t>
              <w:br/>
              <w:t>in column (a))</w:t>
            </w:r>
          </w:p>
        </w:tc>
        <w:tc>
          <w:tcPr>
            <w:tcW w:w="36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gridSpan w:val="2"/>
            <w:tcBorders/>
            <w:vAlign w:val="center"/>
          </w:tcPr>
          <w:p>
            <w:pPr>
              <w:pStyle w:val="TableContents"/>
              <w:bidi w:val="0"/>
              <w:spacing w:before="0" w:after="283"/>
              <w:jc w:val="center"/>
              <w:rPr>
                <w:b/>
              </w:rPr>
            </w:pPr>
            <w:r>
              <w:rPr>
                <w:b/>
              </w:rPr>
              <w:t>(c)</w:t>
            </w:r>
          </w:p>
        </w:tc>
        <w:tc>
          <w:tcPr>
            <w:tcW w:w="36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w:t>
              <w:br/>
              <w:t>security holders</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pPr>
            <w:r>
              <w:rPr/>
              <w:t>28,613,013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pPr>
            <w:r>
              <w:rPr/>
              <w:t>3.12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69" w:type="dxa"/>
            <w:tcBorders/>
            <w:shd w:fill="CCEEFF" w:val="clear"/>
            <w:vAlign w:val="center"/>
          </w:tcPr>
          <w:p>
            <w:pPr>
              <w:pStyle w:val="TableContents"/>
              <w:bidi w:val="0"/>
              <w:spacing w:before="0" w:after="283"/>
              <w:jc w:val="right"/>
              <w:rPr/>
            </w:pPr>
            <w:r>
              <w:rPr/>
              <w:t>20,987,345</w:t>
            </w:r>
          </w:p>
        </w:tc>
        <w:tc>
          <w:tcPr>
            <w:tcW w:w="365" w:type="dxa"/>
            <w:tcBorders/>
            <w:shd w:fill="CCEEFF" w:val="clear"/>
            <w:vAlign w:val="center"/>
          </w:tcPr>
          <w:p>
            <w:pPr>
              <w:pStyle w:val="TableContents"/>
              <w:bidi w:val="0"/>
              <w:spacing w:before="0" w:after="283"/>
              <w:jc w:val="left"/>
              <w:rPr/>
            </w:pPr>
            <w:r>
              <w:rPr/>
              <w:t>(1) </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w:t>
              <w:br/>
              <w:t>security holders</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4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869"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b/>
              </w:rPr>
            </w:pPr>
            <w:r>
              <w:rPr>
                <w:b/>
              </w:rPr>
              <w:t>28,613,013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470" w:type="dxa"/>
            <w:tcBorders/>
            <w:shd w:fill="CCEEFF" w:val="clear"/>
            <w:vAlign w:val="center"/>
          </w:tcPr>
          <w:p>
            <w:pPr>
              <w:pStyle w:val="TableContents"/>
              <w:bidi w:val="0"/>
              <w:spacing w:before="0" w:after="283"/>
              <w:jc w:val="right"/>
              <w:rPr>
                <w:b/>
              </w:rPr>
            </w:pPr>
            <w:r>
              <w:rPr>
                <w:b/>
              </w:rPr>
              <w:t>3.12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69" w:type="dxa"/>
            <w:tcBorders/>
            <w:shd w:fill="CCEEFF" w:val="clear"/>
            <w:vAlign w:val="center"/>
          </w:tcPr>
          <w:p>
            <w:pPr>
              <w:pStyle w:val="TableContents"/>
              <w:bidi w:val="0"/>
              <w:spacing w:before="0" w:after="283"/>
              <w:jc w:val="right"/>
              <w:rPr>
                <w:b/>
              </w:rPr>
            </w:pPr>
            <w:r>
              <w:rPr>
                <w:b/>
              </w:rPr>
              <w:t>20,987,345</w:t>
            </w:r>
          </w:p>
        </w:tc>
        <w:tc>
          <w:tcPr>
            <w:tcW w:w="36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Composed of 16,033,401 shares reserved for issuance under the Aveanna Healthcare Holdings Inc. 2021 Stock Incentive Plan (the “2021 Plan”) and 4,953,944 shares reserved for issuance under the Aveanna Healthcare Holdings Inc. 2021 Employee Stock Purchase Plan (the “ESPP”). Pursuant to the evergreen provision in the 2021 Plan, the number of shares available for issuance under the 2021 Plan increases automatically on the first day of each calendar year in an amount equal to the lesser of (i) 2% of the aggregate number of outstanding shares of our common stock on the final day of the immediately preceding fiscal year and (ii) such smaller number of shares determined by our Board. Pursuant to the evergreen provision in the ESPP, the number of shares available for issuance under the ESPP increases automatically on the first day of each fiscal year in an amount equal to the lesser of (i) 1,801,642 shares, (ii) 1% of the aggregate number of outstanding shares of our common stock on the final day of the immediately preceding fiscal year and (iii) such smaller number of shares determined by our Board. As of January 1, 2026, 4,219,927 shares of common stock were added to the 2021 Plan pursuant to the evergreen provision. As of January 4, 2026, 1,801,642 shares of common stock were added to the ESPP pursuant to the evergreen provision.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798829_11"/>
      <w:bookmarkEnd w:id="12"/>
      <w:r>
        <w:rPr>
          <w:rFonts w:ascii="Times New Roman" w:hAnsi="Times New Roman"/>
          <w:b/>
          <w:sz w:val="20"/>
        </w:rPr>
        <w:t xml:space="preserve">PROPOSAL 3—ADVISORY, NON-BINDING, VOTE ON THE COMPENSATION PAID TO THE COMPANY’S NAMED EXECUTIVE OFFICERS (“SAY ON PAY” VOTE) </w:t>
      </w:r>
    </w:p>
    <w:p>
      <w:pPr>
        <w:pStyle w:val="TextBody"/>
        <w:bidi w:val="0"/>
        <w:spacing w:before="24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both"/>
        <w:rPr>
          <w:rFonts w:ascii="Times New Roman" w:hAnsi="Times New Roman"/>
          <w:sz w:val="20"/>
        </w:rPr>
      </w:pPr>
      <w:r>
        <w:rPr>
          <w:rFonts w:ascii="Times New Roman" w:hAnsi="Times New Roman"/>
          <w:sz w:val="20"/>
        </w:rPr>
        <w:t xml:space="preserve">The Dodd-Frank Wall Street Reform and Consumer Protection Act of 2010 and Section 14A of the Exchange Act require our stockholders to vote to approve, on an advisory, non-binding basis, the compensation paid to our “Named Executive Officers” as disclosed in this Proxy Statement in accordance with the SEC’s rules. </w:t>
      </w:r>
    </w:p>
    <w:p>
      <w:pPr>
        <w:pStyle w:val="TextBody"/>
        <w:bidi w:val="0"/>
        <w:spacing w:before="360" w:after="0"/>
        <w:jc w:val="left"/>
        <w:rPr>
          <w:rFonts w:ascii="Times New Roman" w:hAnsi="Times New Roman"/>
          <w:b/>
          <w:sz w:val="20"/>
        </w:rPr>
      </w:pPr>
      <w:r>
        <w:rPr>
          <w:rFonts w:ascii="Times New Roman" w:hAnsi="Times New Roman"/>
          <w:b/>
          <w:sz w:val="20"/>
        </w:rPr>
        <w:t xml:space="preserve">Say on Pay Vote Mechanics </w:t>
      </w:r>
    </w:p>
    <w:p>
      <w:pPr>
        <w:pStyle w:val="TextBody"/>
        <w:bidi w:val="0"/>
        <w:spacing w:before="120" w:after="0"/>
        <w:jc w:val="both"/>
        <w:rPr>
          <w:rFonts w:ascii="Times New Roman" w:hAnsi="Times New Roman"/>
          <w:sz w:val="20"/>
        </w:rPr>
      </w:pPr>
      <w:r>
        <w:rPr>
          <w:rFonts w:ascii="Times New Roman" w:hAnsi="Times New Roman"/>
          <w:sz w:val="20"/>
        </w:rPr>
        <w:t xml:space="preserve">We are asking our stockholders to provide advisory approval of the compensation paid to our “Named Executive Officers,” as described in the “Compensation Discussion and Analysis” (“CD&amp;A”) section of this Proxy Statement and the compensation tables and narrative disclosures following the CD&amp;A. </w:t>
      </w:r>
    </w:p>
    <w:p>
      <w:pPr>
        <w:pStyle w:val="TextBody"/>
        <w:bidi w:val="0"/>
        <w:spacing w:before="240" w:after="0"/>
        <w:jc w:val="both"/>
        <w:rPr>
          <w:rFonts w:ascii="Times New Roman" w:hAnsi="Times New Roman"/>
          <w:sz w:val="20"/>
        </w:rPr>
      </w:pPr>
      <w:r>
        <w:rPr>
          <w:rFonts w:ascii="Times New Roman" w:hAnsi="Times New Roman"/>
          <w:sz w:val="20"/>
        </w:rPr>
        <w:t xml:space="preserve">This advisory vote is not intended to address any specific item of compensation, but rather the overall compensation of our Named Executive Officers and our compensation philosophy, policies and practices, as described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Our Board has determined that we will annually hold an advisory, non-binding, stockholder vote on the compensation of our NEOs until the next required vote on the frequency of future executive compensation votes, which is required to occur no later than the annual meeting of stockholders to be held in 2028. </w:t>
      </w:r>
    </w:p>
    <w:p>
      <w:pPr>
        <w:pStyle w:val="TextBody"/>
        <w:bidi w:val="0"/>
        <w:spacing w:before="360" w:after="0"/>
        <w:jc w:val="left"/>
        <w:rPr>
          <w:rFonts w:ascii="Times New Roman" w:hAnsi="Times New Roman"/>
          <w:b/>
          <w:sz w:val="20"/>
        </w:rPr>
      </w:pPr>
      <w:r>
        <w:rPr>
          <w:rFonts w:ascii="Times New Roman" w:hAnsi="Times New Roman"/>
          <w:b/>
          <w:sz w:val="20"/>
        </w:rPr>
        <w:t xml:space="preserve">Highlights of our Executive Compensation Program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it is important to reward our executives for strong performance in our business, which presents us with significant operational and regulatory challenges given our industry, and to incentivize them to continue to take actions to deliver strong results for our investors by growing our geographical footprint, expanding our relationships in the healthcare community, growing our patient services, and pursuing new market opportunities. At the same time, we believe that it is important to disincentivize unnecessary risk-taking. We design our executive compensation programs to attract talented executives to join the Company and to motivate them to position us for long-term success, achieve superior operating results and increase stockholder value. To realize these objectives, our compensation philosophy includes the following core elements: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Performance-Based</w:t>
            </w:r>
            <w:r>
              <w:rPr>
                <w:rFonts w:ascii="Times New Roman" w:hAnsi="Times New Roman"/>
                <w:sz w:val="20"/>
              </w:rPr>
              <w:t xml:space="preserve">: A significant portion of executive compensation should be “at-risk,” performance- based pay linked to specific, measurable short-term and long-term goals that reward both organizational and individual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Stockholder-Aligned</w:t>
            </w:r>
            <w:r>
              <w:rPr>
                <w:rFonts w:ascii="Times New Roman" w:hAnsi="Times New Roman"/>
                <w:sz w:val="20"/>
              </w:rPr>
              <w:t xml:space="preserve">: Incentives should be structured to create a strong alignment between executives and stockholders on both a short-term and long-term basis;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Market Competitive</w:t>
            </w:r>
            <w:r>
              <w:rPr>
                <w:rFonts w:ascii="Times New Roman" w:hAnsi="Times New Roman"/>
                <w:sz w:val="20"/>
              </w:rPr>
              <w:t xml:space="preserve">: Compensation levels and programs for executives, including our Named Executive Officers, should be competitive relative to the markets in which we operate and compete for talent. It is important to leverage an understanding of what constitutes competitive pay in our markets and build strategies to attract, incentivize, reward and retain top talent.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By incorporating these core design elements, we believe our executive compensation program is in line with and supportive of our stockholders’ objectives and effective in attracting, motivating and retaining the level of talent we need to successfully manage and grow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Board of Directors Recommendation </w:t>
      </w:r>
    </w:p>
    <w:p>
      <w:pPr>
        <w:pStyle w:val="TextBody"/>
        <w:bidi w:val="0"/>
        <w:spacing w:before="120" w:after="0"/>
        <w:jc w:val="both"/>
        <w:rPr>
          <w:rFonts w:ascii="Times New Roman" w:hAnsi="Times New Roman"/>
          <w:sz w:val="20"/>
        </w:rPr>
      </w:pPr>
      <w:r>
        <w:rPr>
          <w:rFonts w:ascii="Times New Roman" w:hAnsi="Times New Roman"/>
          <w:sz w:val="20"/>
        </w:rPr>
        <w:t>THE BOARD OF DIRECTORS RECOMMENDS THAT STOCKHOLDERS VOTE “</w:t>
      </w:r>
      <w:r>
        <w:rPr>
          <w:rFonts w:ascii="Times New Roman" w:hAnsi="Times New Roman"/>
          <w:b/>
          <w:i/>
          <w:sz w:val="20"/>
        </w:rPr>
        <w:t>FOR</w:t>
      </w:r>
      <w:r>
        <w:rPr>
          <w:rFonts w:ascii="Times New Roman" w:hAnsi="Times New Roman"/>
          <w:sz w:val="20"/>
        </w:rPr>
        <w:t xml:space="preserve">” THE ADVISORY, NON-BINDING SAY ON PAY PROPOSAL, AS STATED BY THE FOLLOWING RESOLUTION: </w:t>
      </w:r>
    </w:p>
    <w:p>
      <w:pPr>
        <w:pStyle w:val="TextBody"/>
        <w:bidi w:val="0"/>
        <w:spacing w:before="120" w:after="0"/>
        <w:jc w:val="both"/>
        <w:rPr/>
      </w:pPr>
      <w:r>
        <w:rPr/>
        <w:t>“</w:t>
      </w:r>
      <w:r>
        <w:rPr>
          <w:rFonts w:ascii="Times New Roman" w:hAnsi="Times New Roman"/>
          <w:sz w:val="20"/>
        </w:rPr>
        <w:t xml:space="preserve">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including the Compensation Discussion and Analysis, the 2025 Summary Compensation Table, and the other related tables and disclosures.” </w:t>
      </w:r>
    </w:p>
    <w:p>
      <w:pPr>
        <w:pStyle w:val="TextBody"/>
        <w:bidi w:val="0"/>
        <w:spacing w:before="120" w:after="0"/>
        <w:jc w:val="both"/>
        <w:rPr>
          <w:rFonts w:ascii="Times New Roman" w:hAnsi="Times New Roman"/>
          <w:sz w:val="20"/>
        </w:rPr>
      </w:pPr>
      <w:r>
        <w:rPr>
          <w:rFonts w:ascii="Times New Roman" w:hAnsi="Times New Roman"/>
          <w:sz w:val="20"/>
        </w:rPr>
        <w:t xml:space="preserve">The say on pay vote is advisory, and therefore not binding on the Company, our Board of Directors or our Compensation Committee. Our Board of Directors and the Compensation Committee value the opinions of our stockholders and will consider the outcome of this vote in considering future compensation arrangements. </w:t>
      </w:r>
    </w:p>
    <w:p>
      <w:pPr>
        <w:pStyle w:val="TextBody"/>
        <w:bidi w:val="0"/>
        <w:spacing w:before="480" w:after="0"/>
        <w:jc w:val="center"/>
        <w:rPr>
          <w:rFonts w:ascii="Times New Roman" w:hAnsi="Times New Roman"/>
          <w:b/>
          <w:sz w:val="20"/>
        </w:rPr>
      </w:pPr>
      <w:bookmarkStart w:id="13" w:name="rom798829_12"/>
      <w:bookmarkEnd w:id="13"/>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0" w:after="0"/>
        <w:jc w:val="both"/>
        <w:rPr>
          <w:rFonts w:ascii="Times New Roman" w:hAnsi="Times New Roman"/>
          <w:sz w:val="20"/>
        </w:rPr>
      </w:pPr>
      <w:r>
        <w:rPr>
          <w:rFonts w:ascii="Times New Roman" w:hAnsi="Times New Roman"/>
          <w:sz w:val="20"/>
        </w:rPr>
        <w:t xml:space="preserve">The following Compensation Discussion and Analysis (“CD&amp;A”) describes our fiscal year 2025 executive compensation structure and philosophy. This CD&amp;A is intended to be read in conjunction with the tables included in CD&amp;A as well as the section titled, </w:t>
      </w:r>
      <w:r>
        <w:rPr>
          <w:rFonts w:ascii="Times New Roman" w:hAnsi="Times New Roman"/>
          <w:i/>
          <w:sz w:val="20"/>
        </w:rPr>
        <w:t>Report of the Compensation Committee</w:t>
      </w:r>
      <w:r>
        <w:rPr>
          <w:rFonts w:ascii="Times New Roman" w:hAnsi="Times New Roman"/>
          <w:sz w:val="20"/>
        </w:rPr>
        <w:t xml:space="preserve">, which provides detailed compensation information for the following executive officers, who we refer to as our “Named Executive Officers” or “NEOs”: </w:t>
      </w:r>
    </w:p>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1700"/>
        <w:gridCol w:w="120"/>
        <w:gridCol w:w="309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170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Name</w:t>
            </w:r>
          </w:p>
        </w:tc>
        <w:tc>
          <w:tcPr>
            <w:tcW w:w="12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309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Title</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321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Jeff Shaner</w:t>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President and Chief Executive Officer</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321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Matthew Buckhalter</w:t>
            </w:r>
          </w:p>
        </w:tc>
        <w:tc>
          <w:tcPr>
            <w:tcW w:w="1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Financial Officer</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321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bottom w:val="single" w:sz="6"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Ed Reisz</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95" w:type="dxa"/>
            <w:tcBorders>
              <w:bottom w:val="single" w:sz="6"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Chief Administrative Officer</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executive compensation structure consists of the following components: </w:t>
      </w:r>
    </w:p>
    <w:p>
      <w:pPr>
        <w:pStyle w:val="TextBody"/>
        <w:bidi w:val="0"/>
        <w:spacing w:before="0" w:after="0"/>
        <w:jc w:val="left"/>
        <w:rPr/>
      </w:pPr>
      <w:r>
        <w:rPr/>
        <w:t> </w:t>
      </w:r>
    </w:p>
    <w:tbl>
      <w:tblPr>
        <w:tblW w:w="1240" w:type="dxa"/>
        <w:jc w:val="left"/>
        <w:tblInd w:w="0" w:type="dxa"/>
        <w:tblLayout w:type="fixed"/>
        <w:tblCellMar>
          <w:top w:w="0" w:type="dxa"/>
          <w:left w:w="0" w:type="dxa"/>
          <w:bottom w:w="0" w:type="dxa"/>
          <w:right w:w="0" w:type="dxa"/>
        </w:tblCellMar>
      </w:tblPr>
      <w:tblGrid>
        <w:gridCol w:w="75"/>
        <w:gridCol w:w="110"/>
        <w:gridCol w:w="60"/>
        <w:gridCol w:w="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Non-equity Incentive Plan Compensation </w:t>
            </w:r>
          </w:p>
        </w:tc>
      </w:tr>
    </w:tbl>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incentives (equity awards) </w:t>
            </w:r>
          </w:p>
        </w:tc>
      </w:tr>
    </w:tbl>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Broad-based benefit and retirement programs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Objectives and Philosophy </w:t>
      </w:r>
    </w:p>
    <w:p>
      <w:pPr>
        <w:pStyle w:val="TextBody"/>
        <w:bidi w:val="0"/>
        <w:spacing w:before="120" w:after="0"/>
        <w:jc w:val="both"/>
        <w:rPr>
          <w:rFonts w:ascii="Times New Roman" w:hAnsi="Times New Roman"/>
          <w:sz w:val="20"/>
        </w:rPr>
      </w:pPr>
      <w:r>
        <w:rPr>
          <w:rFonts w:ascii="Times New Roman" w:hAnsi="Times New Roman"/>
          <w:sz w:val="20"/>
        </w:rPr>
        <w:t xml:space="preserve">Our executive compensation program is intended to attract and retain executive officers and to align the interests of our executive officers with those of our stockholders. The Compensation Committee’s objectives for our programs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offer competitive total compensation opportunities, reflecting industry standards, and balance the need for talent with reasonable compensation expense; </w:t>
            </w:r>
          </w:p>
        </w:tc>
      </w:tr>
    </w:tbl>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enhance stockholder value by focusing management on financial metrics that drive value; </w:t>
            </w:r>
          </w:p>
        </w:tc>
      </w:tr>
    </w:tbl>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emphasize at-risk compensation versus fixed compensation; </w:t>
            </w:r>
          </w:p>
        </w:tc>
      </w:tr>
    </w:tbl>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attract, motivate and retain executive talent willing to commit to long-term stockholder value creation; and </w:t>
            </w:r>
          </w:p>
        </w:tc>
      </w:tr>
    </w:tbl>
    <w:tbl>
      <w:tblPr>
        <w:tblW w:w="2995" w:type="dxa"/>
        <w:jc w:val="left"/>
        <w:tblInd w:w="0" w:type="dxa"/>
        <w:tblLayout w:type="fixed"/>
        <w:tblCellMar>
          <w:top w:w="0" w:type="dxa"/>
          <w:left w:w="0" w:type="dxa"/>
          <w:bottom w:w="0" w:type="dxa"/>
          <w:right w:w="0" w:type="dxa"/>
        </w:tblCellMar>
      </w:tblPr>
      <w:tblGrid>
        <w:gridCol w:w="75"/>
        <w:gridCol w:w="110"/>
        <w:gridCol w:w="60"/>
        <w:gridCol w:w="2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discourage excessive risk taking.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Compensation Committee determines the type and amount of compensation opportunity for our Named Executive Officers based on a thorough review of a variety of factors, including competitive market data, the officers’ respective responsibilities and value to the Company, future leadership potential and individual/ corporate/business performance. The following table outlines the elements of our executive pay programs and each element’s relationship with our philosophy for NEO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2"/>
        <w:gridCol w:w="120"/>
        <w:gridCol w:w="3008"/>
        <w:gridCol w:w="120"/>
        <w:gridCol w:w="2955"/>
        <w:gridCol w:w="120"/>
        <w:gridCol w:w="1680"/>
      </w:tblGrid>
      <w:tr>
        <w:trPr/>
        <w:tc>
          <w:tcPr>
            <w:tcW w:w="22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2202"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Component</w:t>
            </w:r>
          </w:p>
        </w:tc>
        <w:tc>
          <w:tcPr>
            <w:tcW w:w="12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3008"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Purpose</w:t>
            </w:r>
          </w:p>
        </w:tc>
        <w:tc>
          <w:tcPr>
            <w:tcW w:w="12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2955"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Characteristic</w:t>
            </w:r>
          </w:p>
        </w:tc>
        <w:tc>
          <w:tcPr>
            <w:tcW w:w="12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1680" w:type="dxa"/>
            <w:tcBorders>
              <w:top w:val="single" w:sz="6" w:space="0" w:color="000000"/>
              <w:bottom w:val="single" w:sz="6" w:space="0" w:color="000000"/>
            </w:tcBorders>
            <w:shd w:fill="CCEEFF" w:val="clear"/>
            <w:tcMar>
              <w:top w:w="28" w:type="dxa"/>
              <w:bottom w:w="28" w:type="dxa"/>
            </w:tcMar>
            <w:vAlign w:val="center"/>
          </w:tcPr>
          <w:p>
            <w:pPr>
              <w:pStyle w:val="TableContents"/>
              <w:bidi w:val="0"/>
              <w:spacing w:before="0" w:after="283"/>
              <w:jc w:val="center"/>
              <w:rPr>
                <w:b/>
              </w:rPr>
            </w:pPr>
            <w:r>
              <w:rPr>
                <w:b/>
              </w:rPr>
              <w:t>Fixed or Performance- Based</w:t>
            </w:r>
          </w:p>
        </w:tc>
      </w:tr>
      <w:tr>
        <w:trPr/>
        <w:tc>
          <w:tcPr>
            <w:tcW w:w="2202" w:type="dxa"/>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c>
          <w:tcPr>
            <w:tcW w:w="1800" w:type="dxa"/>
            <w:gridSpan w:val="2"/>
            <w:tcBorders/>
            <w:vAlign w:val="center"/>
          </w:tcPr>
          <w:p>
            <w:pPr>
              <w:pStyle w:val="TableContents"/>
              <w:bidi w:val="0"/>
              <w:spacing w:before="0" w:after="283"/>
              <w:jc w:val="left"/>
              <w:rPr>
                <w:sz w:val="4"/>
                <w:szCs w:val="4"/>
              </w:rPr>
            </w:pPr>
            <w:r>
              <w:rPr>
                <w:sz w:val="4"/>
                <w:szCs w:val="4"/>
              </w:rPr>
            </w:r>
          </w:p>
        </w:tc>
      </w:tr>
      <w:tr>
        <w:trPr/>
        <w:tc>
          <w:tcPr>
            <w:tcW w:w="2202" w:type="dxa"/>
            <w:tcBorders/>
            <w:vAlign w:val="center"/>
          </w:tcPr>
          <w:p>
            <w:pPr>
              <w:pStyle w:val="TableContents"/>
              <w:bidi w:val="0"/>
              <w:spacing w:before="0" w:after="283"/>
              <w:jc w:val="left"/>
              <w:rPr>
                <w:b/>
              </w:rPr>
            </w:pPr>
            <w:r>
              <w:rPr>
                <w:b/>
              </w:rPr>
              <w:t>Base Salary</w:t>
            </w:r>
          </w:p>
        </w:tc>
        <w:tc>
          <w:tcPr>
            <w:tcW w:w="120" w:type="dxa"/>
            <w:tcBorders/>
            <w:vAlign w:val="center"/>
          </w:tcPr>
          <w:p>
            <w:pPr>
              <w:pStyle w:val="TableContents"/>
              <w:bidi w:val="0"/>
              <w:spacing w:before="0" w:after="283"/>
              <w:jc w:val="left"/>
              <w:rPr/>
            </w:pPr>
            <w:r>
              <w:rPr/>
              <w:t>  </w:t>
            </w:r>
          </w:p>
        </w:tc>
        <w:tc>
          <w:tcPr>
            <w:tcW w:w="3008" w:type="dxa"/>
            <w:tcBorders/>
            <w:vAlign w:val="center"/>
          </w:tcPr>
          <w:p>
            <w:pPr>
              <w:pStyle w:val="TableContents"/>
              <w:bidi w:val="0"/>
              <w:spacing w:before="0" w:after="283"/>
              <w:jc w:val="left"/>
              <w:rPr/>
            </w:pPr>
            <w:r>
              <w:rPr/>
              <w:t>Attracts and retains executives through market-based pay</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Compensates executives fairly and competitively for their roles</w:t>
            </w:r>
          </w:p>
        </w:tc>
        <w:tc>
          <w:tcPr>
            <w:tcW w:w="120"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center"/>
              <w:rPr/>
            </w:pPr>
            <w:r>
              <w:rPr/>
              <w:t>Fixed</w:t>
            </w:r>
          </w:p>
        </w:tc>
      </w:tr>
      <w:tr>
        <w:trPr/>
        <w:tc>
          <w:tcPr>
            <w:tcW w:w="2202" w:type="dxa"/>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c>
          <w:tcPr>
            <w:tcW w:w="1800" w:type="dxa"/>
            <w:gridSpan w:val="2"/>
            <w:tcBorders/>
            <w:vAlign w:val="center"/>
          </w:tcPr>
          <w:p>
            <w:pPr>
              <w:pStyle w:val="TableContents"/>
              <w:bidi w:val="0"/>
              <w:spacing w:before="0" w:after="283"/>
              <w:jc w:val="left"/>
              <w:rPr>
                <w:sz w:val="4"/>
                <w:szCs w:val="4"/>
              </w:rPr>
            </w:pPr>
            <w:r>
              <w:rPr>
                <w:sz w:val="4"/>
                <w:szCs w:val="4"/>
              </w:rPr>
            </w:r>
          </w:p>
        </w:tc>
      </w:tr>
      <w:tr>
        <w:trPr/>
        <w:tc>
          <w:tcPr>
            <w:tcW w:w="2202" w:type="dxa"/>
            <w:tcBorders/>
            <w:vAlign w:val="center"/>
          </w:tcPr>
          <w:p>
            <w:pPr>
              <w:pStyle w:val="TableContents"/>
              <w:bidi w:val="0"/>
              <w:spacing w:before="0" w:after="283"/>
              <w:jc w:val="left"/>
              <w:rPr/>
            </w:pPr>
            <w:r>
              <w:rPr>
                <w:b/>
              </w:rPr>
              <w:t>Annual</w:t>
            </w:r>
            <w:r>
              <w:rPr/>
              <w:t xml:space="preserve"> </w:t>
            </w:r>
            <w:r>
              <w:rPr>
                <w:b/>
              </w:rPr>
              <w:t>Non-Equity</w:t>
            </w:r>
            <w:r>
              <w:rPr/>
              <w:t xml:space="preserve"> </w:t>
            </w:r>
            <w:r>
              <w:rPr>
                <w:b/>
              </w:rPr>
              <w:t>Compensation</w:t>
            </w:r>
            <w:r>
              <w:rPr/>
              <w:t xml:space="preserve"> </w:t>
            </w:r>
            <w:r>
              <w:rPr>
                <w:i/>
              </w:rPr>
              <w:t>(Annual Cash</w:t>
            </w:r>
            <w:r>
              <w:rPr/>
              <w:t xml:space="preserve"> </w:t>
            </w:r>
            <w:r>
              <w:rPr>
                <w:i/>
              </w:rPr>
              <w:t>Incentive)</w:t>
            </w:r>
          </w:p>
        </w:tc>
        <w:tc>
          <w:tcPr>
            <w:tcW w:w="120" w:type="dxa"/>
            <w:tcBorders/>
            <w:vAlign w:val="center"/>
          </w:tcPr>
          <w:p>
            <w:pPr>
              <w:pStyle w:val="TableContents"/>
              <w:bidi w:val="0"/>
              <w:spacing w:before="0" w:after="283"/>
              <w:jc w:val="left"/>
              <w:rPr/>
            </w:pPr>
            <w:r>
              <w:rPr/>
              <w:t>  </w:t>
            </w:r>
          </w:p>
        </w:tc>
        <w:tc>
          <w:tcPr>
            <w:tcW w:w="3008" w:type="dxa"/>
            <w:tcBorders/>
            <w:vAlign w:val="center"/>
          </w:tcPr>
          <w:p>
            <w:pPr>
              <w:pStyle w:val="TableContents"/>
              <w:bidi w:val="0"/>
              <w:spacing w:before="0" w:after="283"/>
              <w:jc w:val="left"/>
              <w:rPr/>
            </w:pPr>
            <w:r>
              <w:rPr/>
              <w:t>Encourages achievement of financial performance metrics that drive stockholder value</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Based on achievement of predefined corporate financial performance objectives</w:t>
            </w:r>
          </w:p>
        </w:tc>
        <w:tc>
          <w:tcPr>
            <w:tcW w:w="120"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center"/>
              <w:rPr/>
            </w:pPr>
            <w:r>
              <w:rPr/>
              <w:t>Performance- Based</w:t>
            </w:r>
          </w:p>
        </w:tc>
      </w:tr>
      <w:tr>
        <w:trPr/>
        <w:tc>
          <w:tcPr>
            <w:tcW w:w="2202" w:type="dxa"/>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c>
          <w:tcPr>
            <w:tcW w:w="1800" w:type="dxa"/>
            <w:gridSpan w:val="2"/>
            <w:tcBorders/>
            <w:vAlign w:val="center"/>
          </w:tcPr>
          <w:p>
            <w:pPr>
              <w:pStyle w:val="TableContents"/>
              <w:bidi w:val="0"/>
              <w:spacing w:before="0" w:after="283"/>
              <w:jc w:val="left"/>
              <w:rPr>
                <w:sz w:val="4"/>
                <w:szCs w:val="4"/>
              </w:rPr>
            </w:pPr>
            <w:r>
              <w:rPr>
                <w:sz w:val="4"/>
                <w:szCs w:val="4"/>
              </w:rPr>
            </w:r>
          </w:p>
        </w:tc>
      </w:tr>
      <w:tr>
        <w:trPr/>
        <w:tc>
          <w:tcPr>
            <w:tcW w:w="2202" w:type="dxa"/>
            <w:tcBorders/>
            <w:vAlign w:val="center"/>
          </w:tcPr>
          <w:p>
            <w:pPr>
              <w:pStyle w:val="TableContents"/>
              <w:bidi w:val="0"/>
              <w:spacing w:before="0" w:after="283"/>
              <w:jc w:val="left"/>
              <w:rPr>
                <w:b/>
              </w:rPr>
            </w:pPr>
            <w:r>
              <w:rPr>
                <w:b/>
              </w:rPr>
              <w:t>Long-Term Equity Incentives</w:t>
            </w:r>
          </w:p>
        </w:tc>
        <w:tc>
          <w:tcPr>
            <w:tcW w:w="120" w:type="dxa"/>
            <w:tcBorders/>
            <w:vAlign w:val="center"/>
          </w:tcPr>
          <w:p>
            <w:pPr>
              <w:pStyle w:val="TableContents"/>
              <w:bidi w:val="0"/>
              <w:spacing w:before="0" w:after="283"/>
              <w:jc w:val="left"/>
              <w:rPr/>
            </w:pPr>
            <w:r>
              <w:rPr/>
              <w:t>  </w:t>
            </w:r>
          </w:p>
        </w:tc>
        <w:tc>
          <w:tcPr>
            <w:tcW w:w="3008" w:type="dxa"/>
            <w:tcBorders/>
            <w:vAlign w:val="center"/>
          </w:tcPr>
          <w:p>
            <w:pPr>
              <w:pStyle w:val="TableContents"/>
              <w:bidi w:val="0"/>
              <w:spacing w:before="0" w:after="283"/>
              <w:jc w:val="left"/>
              <w:rPr/>
            </w:pPr>
            <w:r>
              <w:rPr/>
              <w:t>Align executives’ long-term compensation interests with stockholders’ investment interests</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Value to the executive is based on the passage of time, as well as company-specific annual performance</w:t>
            </w:r>
          </w:p>
        </w:tc>
        <w:tc>
          <w:tcPr>
            <w:tcW w:w="120"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center"/>
              <w:rPr/>
            </w:pPr>
            <w:r>
              <w:rPr/>
              <w:t>Fixed and Performance- Based</w:t>
            </w:r>
          </w:p>
        </w:tc>
      </w:tr>
      <w:tr>
        <w:trPr/>
        <w:tc>
          <w:tcPr>
            <w:tcW w:w="2202" w:type="dxa"/>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3075" w:type="dxa"/>
            <w:gridSpan w:val="2"/>
            <w:tcBorders/>
            <w:vAlign w:val="center"/>
          </w:tcPr>
          <w:p>
            <w:pPr>
              <w:pStyle w:val="TableContents"/>
              <w:bidi w:val="0"/>
              <w:spacing w:before="0" w:after="283"/>
              <w:jc w:val="left"/>
              <w:rPr>
                <w:sz w:val="4"/>
                <w:szCs w:val="4"/>
              </w:rPr>
            </w:pPr>
            <w:r>
              <w:rPr>
                <w:sz w:val="4"/>
                <w:szCs w:val="4"/>
              </w:rPr>
            </w:r>
          </w:p>
        </w:tc>
        <w:tc>
          <w:tcPr>
            <w:tcW w:w="1800" w:type="dxa"/>
            <w:gridSpan w:val="2"/>
            <w:tcBorders/>
            <w:vAlign w:val="center"/>
          </w:tcPr>
          <w:p>
            <w:pPr>
              <w:pStyle w:val="TableContents"/>
              <w:bidi w:val="0"/>
              <w:spacing w:before="0" w:after="283"/>
              <w:jc w:val="left"/>
              <w:rPr>
                <w:sz w:val="4"/>
                <w:szCs w:val="4"/>
              </w:rPr>
            </w:pPr>
            <w:r>
              <w:rPr>
                <w:sz w:val="4"/>
                <w:szCs w:val="4"/>
              </w:rPr>
            </w:r>
          </w:p>
        </w:tc>
      </w:tr>
      <w:tr>
        <w:trPr/>
        <w:tc>
          <w:tcPr>
            <w:tcW w:w="2202" w:type="dxa"/>
            <w:tcBorders/>
            <w:vAlign w:val="center"/>
          </w:tcPr>
          <w:p>
            <w:pPr>
              <w:pStyle w:val="TableContents"/>
              <w:bidi w:val="0"/>
              <w:spacing w:before="0" w:after="283"/>
              <w:jc w:val="left"/>
              <w:rPr>
                <w:b/>
              </w:rPr>
            </w:pPr>
            <w:r>
              <w:rPr>
                <w:b/>
              </w:rPr>
              <w:t>Benefit and Retirement Programs</w:t>
            </w:r>
          </w:p>
        </w:tc>
        <w:tc>
          <w:tcPr>
            <w:tcW w:w="120" w:type="dxa"/>
            <w:tcBorders/>
            <w:vAlign w:val="center"/>
          </w:tcPr>
          <w:p>
            <w:pPr>
              <w:pStyle w:val="TableContents"/>
              <w:bidi w:val="0"/>
              <w:spacing w:before="0" w:after="283"/>
              <w:jc w:val="left"/>
              <w:rPr/>
            </w:pPr>
            <w:r>
              <w:rPr/>
              <w:t>  </w:t>
            </w:r>
          </w:p>
        </w:tc>
        <w:tc>
          <w:tcPr>
            <w:tcW w:w="3008" w:type="dxa"/>
            <w:tcBorders/>
            <w:vAlign w:val="center"/>
          </w:tcPr>
          <w:p>
            <w:pPr>
              <w:pStyle w:val="TableContents"/>
              <w:bidi w:val="0"/>
              <w:spacing w:before="0" w:after="283"/>
              <w:jc w:val="left"/>
              <w:rPr/>
            </w:pPr>
            <w:r>
              <w:rPr/>
              <w:t>Provide competitive benefits that promote employee health and productivity and support longer-term physical and fiscal security</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Similar to benefits offered to other employees</w:t>
            </w:r>
          </w:p>
        </w:tc>
        <w:tc>
          <w:tcPr>
            <w:tcW w:w="120" w:type="dxa"/>
            <w:tcBorders/>
            <w:vAlign w:val="center"/>
          </w:tcPr>
          <w:p>
            <w:pPr>
              <w:pStyle w:val="TableContents"/>
              <w:bidi w:val="0"/>
              <w:spacing w:before="0" w:after="283"/>
              <w:jc w:val="left"/>
              <w:rPr/>
            </w:pPr>
            <w:r>
              <w:rPr/>
              <w:t>  </w:t>
            </w:r>
          </w:p>
        </w:tc>
        <w:tc>
          <w:tcPr>
            <w:tcW w:w="1680" w:type="dxa"/>
            <w:tcBorders/>
            <w:vAlign w:val="center"/>
          </w:tcPr>
          <w:p>
            <w:pPr>
              <w:pStyle w:val="TableContents"/>
              <w:bidi w:val="0"/>
              <w:spacing w:before="0" w:after="283"/>
              <w:jc w:val="center"/>
              <w:rPr/>
            </w:pPr>
            <w:r>
              <w:rPr/>
              <w:t>Fixed</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1850"/>
        <w:gridCol w:w="120"/>
        <w:gridCol w:w="6260"/>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60" w:type="dxa"/>
            <w:tcBorders/>
            <w:vAlign w:val="center"/>
          </w:tcPr>
          <w:p>
            <w:pPr>
              <w:pStyle w:val="TableContents"/>
              <w:bidi w:val="0"/>
              <w:spacing w:before="0" w:after="283"/>
              <w:jc w:val="left"/>
              <w:rPr>
                <w:sz w:val="4"/>
                <w:szCs w:val="4"/>
              </w:rPr>
            </w:pPr>
            <w:r>
              <w:rPr>
                <w:sz w:val="4"/>
                <w:szCs w:val="4"/>
              </w:rPr>
            </w:r>
          </w:p>
        </w:tc>
      </w:tr>
      <w:tr>
        <w:trPr/>
        <w:tc>
          <w:tcPr>
            <w:tcW w:w="8230" w:type="dxa"/>
            <w:gridSpan w:val="3"/>
            <w:tcBorders>
              <w:top w:val="single" w:sz="6" w:space="0" w:color="000000"/>
            </w:tcBorders>
            <w:shd w:fill="CCEEFF" w:val="clear"/>
            <w:tcMar>
              <w:top w:w="28" w:type="dxa"/>
            </w:tcMar>
            <w:vAlign w:val="center"/>
          </w:tcPr>
          <w:p>
            <w:pPr>
              <w:pStyle w:val="TableContents"/>
              <w:bidi w:val="0"/>
              <w:spacing w:before="0" w:after="283"/>
              <w:jc w:val="left"/>
              <w:rPr/>
            </w:pPr>
            <w:r>
              <w:rPr/>
              <w:t> </w:t>
            </w:r>
          </w:p>
        </w:tc>
      </w:tr>
      <w:tr>
        <w:trPr/>
        <w:tc>
          <w:tcPr>
            <w:tcW w:w="8230" w:type="dxa"/>
            <w:gridSpan w:val="3"/>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Fiscal Year 2025 NEO Target Compensation Structure Summary</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1850" w:type="dxa"/>
            <w:tcBorders>
              <w:bottom w:val="single" w:sz="6" w:space="0" w:color="000000"/>
            </w:tcBorders>
            <w:tcMar>
              <w:bottom w:w="28" w:type="dxa"/>
            </w:tcMar>
            <w:vAlign w:val="center"/>
          </w:tcPr>
          <w:p>
            <w:pPr>
              <w:pStyle w:val="TableContents"/>
              <w:bidi w:val="0"/>
              <w:spacing w:before="0" w:after="283"/>
              <w:jc w:val="left"/>
              <w:rPr>
                <w:b/>
              </w:rPr>
            </w:pPr>
            <w:r>
              <w:rPr>
                <w:b/>
              </w:rPr>
              <w:t>Component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60" w:type="dxa"/>
            <w:tcBorders>
              <w:bottom w:val="single" w:sz="6" w:space="0" w:color="000000"/>
            </w:tcBorders>
            <w:tcMar>
              <w:bottom w:w="28" w:type="dxa"/>
            </w:tcMar>
            <w:vAlign w:val="center"/>
          </w:tcPr>
          <w:p>
            <w:pPr>
              <w:pStyle w:val="TableContents"/>
              <w:bidi w:val="0"/>
              <w:spacing w:before="0" w:after="283"/>
              <w:jc w:val="left"/>
              <w:rPr>
                <w:b/>
              </w:rPr>
            </w:pPr>
            <w:r>
              <w:rPr>
                <w:b/>
              </w:rPr>
              <w:t>Summary</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1850" w:type="dxa"/>
            <w:tcBorders>
              <w:bottom w:val="single" w:sz="6" w:space="0" w:color="000000"/>
            </w:tcBorders>
            <w:tcMar>
              <w:bottom w:w="12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Base Salary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60" w:type="dxa"/>
            <w:tcBorders>
              <w:bottom w:val="single" w:sz="6" w:space="0" w:color="000000"/>
            </w:tcBorders>
            <w:tcMar>
              <w:bottom w:w="120" w:type="dxa"/>
            </w:tcMar>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Shaner: $750,000</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Buckhalter: $500,000</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Mr. Reisz: $450,000</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1850" w:type="dxa"/>
            <w:tcBorders>
              <w:bottom w:val="single" w:sz="6" w:space="0" w:color="000000"/>
            </w:tcBorders>
            <w:tcMar>
              <w:bottom w:w="12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Target Annual Bonus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260" w:type="dxa"/>
            <w:tcBorders>
              <w:bottom w:val="single" w:sz="6" w:space="0" w:color="000000"/>
            </w:tcBorders>
            <w:tcMar>
              <w:bottom w:w="12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 following target bonus opportunities were approved for fiscal year 2025.</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Shaner: 100% of base salary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Buckhalter: 75% of base salary</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Reisz: 75% of base salary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972"/>
        <w:gridCol w:w="120"/>
        <w:gridCol w:w="8113"/>
      </w:tblGrid>
      <w:tr>
        <w:trPr/>
        <w:tc>
          <w:tcPr>
            <w:tcW w:w="19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1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000000"/>
            </w:tcBorders>
            <w:shd w:fill="CCEEFF" w:val="clear"/>
            <w:tcMar>
              <w:top w:w="28" w:type="dxa"/>
            </w:tcMar>
            <w:vAlign w:val="center"/>
          </w:tcPr>
          <w:p>
            <w:pPr>
              <w:pStyle w:val="TableContents"/>
              <w:bidi w:val="0"/>
              <w:spacing w:before="0" w:after="283"/>
              <w:jc w:val="left"/>
              <w:rPr/>
            </w:pPr>
            <w:r>
              <w:rPr/>
              <w:t> </w:t>
            </w:r>
          </w:p>
        </w:tc>
      </w:tr>
      <w:tr>
        <w:trPr/>
        <w:tc>
          <w:tcPr>
            <w:tcW w:w="10205" w:type="dxa"/>
            <w:gridSpan w:val="3"/>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Fiscal Year 2025 NEO Target Compensation Structure Summary</w:t>
            </w:r>
          </w:p>
        </w:tc>
      </w:tr>
      <w:tr>
        <w:trPr/>
        <w:tc>
          <w:tcPr>
            <w:tcW w:w="1972" w:type="dxa"/>
            <w:tcBorders/>
            <w:vAlign w:val="center"/>
          </w:tcPr>
          <w:p>
            <w:pPr>
              <w:pStyle w:val="TableContents"/>
              <w:bidi w:val="0"/>
              <w:spacing w:before="0" w:after="283"/>
              <w:jc w:val="left"/>
              <w:rPr>
                <w:sz w:val="4"/>
                <w:szCs w:val="4"/>
              </w:rPr>
            </w:pPr>
            <w:r>
              <w:rPr>
                <w:sz w:val="4"/>
                <w:szCs w:val="4"/>
              </w:rPr>
            </w:r>
          </w:p>
        </w:tc>
        <w:tc>
          <w:tcPr>
            <w:tcW w:w="8233" w:type="dxa"/>
            <w:gridSpan w:val="2"/>
            <w:tcBorders/>
            <w:vAlign w:val="center"/>
          </w:tcPr>
          <w:p>
            <w:pPr>
              <w:pStyle w:val="TableContents"/>
              <w:bidi w:val="0"/>
              <w:spacing w:before="0" w:after="283"/>
              <w:jc w:val="left"/>
              <w:rPr>
                <w:sz w:val="4"/>
                <w:szCs w:val="4"/>
              </w:rPr>
            </w:pPr>
            <w:r>
              <w:rPr>
                <w:sz w:val="4"/>
                <w:szCs w:val="4"/>
              </w:rPr>
            </w:r>
          </w:p>
        </w:tc>
      </w:tr>
      <w:tr>
        <w:trPr/>
        <w:tc>
          <w:tcPr>
            <w:tcW w:w="1972" w:type="dxa"/>
            <w:tcBorders>
              <w:bottom w:val="single" w:sz="6" w:space="0" w:color="000000"/>
            </w:tcBorders>
            <w:tcMar>
              <w:bottom w:w="28" w:type="dxa"/>
            </w:tcMar>
            <w:vAlign w:val="center"/>
          </w:tcPr>
          <w:p>
            <w:pPr>
              <w:pStyle w:val="TableContents"/>
              <w:bidi w:val="0"/>
              <w:spacing w:before="0" w:after="283"/>
              <w:jc w:val="left"/>
              <w:rPr>
                <w:b/>
              </w:rPr>
            </w:pPr>
            <w:r>
              <w:rPr>
                <w:b/>
              </w:rPr>
              <w:t>Component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113" w:type="dxa"/>
            <w:tcBorders>
              <w:bottom w:val="single" w:sz="6" w:space="0" w:color="000000"/>
            </w:tcBorders>
            <w:tcMar>
              <w:bottom w:w="28" w:type="dxa"/>
            </w:tcMar>
            <w:vAlign w:val="center"/>
          </w:tcPr>
          <w:p>
            <w:pPr>
              <w:pStyle w:val="TableContents"/>
              <w:bidi w:val="0"/>
              <w:spacing w:before="0" w:after="283"/>
              <w:jc w:val="left"/>
              <w:rPr>
                <w:b/>
              </w:rPr>
            </w:pPr>
            <w:r>
              <w:rPr>
                <w:b/>
              </w:rPr>
              <w:t>Summary</w:t>
            </w:r>
          </w:p>
        </w:tc>
      </w:tr>
      <w:tr>
        <w:trPr/>
        <w:tc>
          <w:tcPr>
            <w:tcW w:w="1972" w:type="dxa"/>
            <w:tcBorders/>
            <w:vAlign w:val="center"/>
          </w:tcPr>
          <w:p>
            <w:pPr>
              <w:pStyle w:val="TableContents"/>
              <w:bidi w:val="0"/>
              <w:spacing w:before="0" w:after="283"/>
              <w:jc w:val="left"/>
              <w:rPr>
                <w:sz w:val="4"/>
                <w:szCs w:val="4"/>
              </w:rPr>
            </w:pPr>
            <w:r>
              <w:rPr>
                <w:sz w:val="4"/>
                <w:szCs w:val="4"/>
              </w:rPr>
            </w:r>
          </w:p>
        </w:tc>
        <w:tc>
          <w:tcPr>
            <w:tcW w:w="8233" w:type="dxa"/>
            <w:gridSpan w:val="2"/>
            <w:tcBorders/>
            <w:vAlign w:val="center"/>
          </w:tcPr>
          <w:p>
            <w:pPr>
              <w:pStyle w:val="TableContents"/>
              <w:bidi w:val="0"/>
              <w:spacing w:before="0" w:after="283"/>
              <w:jc w:val="left"/>
              <w:rPr>
                <w:sz w:val="4"/>
                <w:szCs w:val="4"/>
              </w:rPr>
            </w:pPr>
            <w:r>
              <w:rPr>
                <w:sz w:val="4"/>
                <w:szCs w:val="4"/>
              </w:rPr>
            </w:r>
          </w:p>
        </w:tc>
      </w:tr>
      <w:tr>
        <w:trPr/>
        <w:tc>
          <w:tcPr>
            <w:tcW w:w="1972" w:type="dxa"/>
            <w:tcBorders>
              <w:bottom w:val="single" w:sz="6" w:space="0" w:color="000000"/>
            </w:tcBorders>
            <w:tcMar>
              <w:bottom w:w="28"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Long-Term Incentives 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113" w:type="dxa"/>
            <w:tcBorders>
              <w:bottom w:val="single" w:sz="6"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In order to secure our senior management team for the long term and to focus their decision-making to positively impact long-term stockholder value, in 2025 we made our annual long-term incentive grant, consisting of performance stock units (“PSUs”) and time-based restricted stock units (“RSUs”) to members of senior management, including our NEOs.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equity awards granted to our NEOs as compensation for fiscal year 2025 consisted of 50% RSUs and 50% PSUs. The RSUs will cliff vest three years from the grant date. The PSUs are based on annual Adjusted EBITDA performance which can be met in any one-year period over the three years subsequent to the grant date.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Earned amounts become vested at the end of three years. PSUs and RSUs generally will be forfeited if the recipient voluntarily terminates employment prior to the vesting date.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Our fiscal year 2025 NEO RSU grants were as follows: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Shaner: 271,468 RSUs with a grant date value of $1,156,454</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Buckhalter: 78,533 RSUs with a grant date value of $334,551</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Reisz: 85,598 RSUs with a grant date value of $364,647</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Our fiscal year 2025 NEO PSU grants were as follows:</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Shaner: 271,467 PSUs with a grant date value of $1,156,449</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Buckhalter: 78,532 PSUs with a grant date value of $334,546</w:t>
            </w:r>
          </w:p>
          <w:p>
            <w:pPr>
              <w:pStyle w:val="TableContents"/>
              <w:bidi w:val="0"/>
              <w:spacing w:before="0" w:after="0"/>
              <w:jc w:val="left"/>
              <w:rPr/>
            </w:pPr>
            <w:r>
              <w:rPr/>
              <w:t> </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Mr. Reisz: 85,598 PSUs with a grant date value of $364,647</w:t>
            </w:r>
          </w:p>
          <w:p>
            <w:pPr>
              <w:pStyle w:val="TableContents"/>
              <w:bidi w:val="0"/>
              <w:spacing w:before="0" w:after="20"/>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Compensation Decision Process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Role of the 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Committee is responsible to our Board of Directors for oversight of our executive compensation programs. The Compensation Committee consists of independent directors and is responsible for the review and approval of all aspects of our compensation programs, including, without limitation: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considering input from our stockholders; </w:t>
            </w:r>
          </w:p>
        </w:tc>
      </w:tr>
    </w:tbl>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75"/>
        <w:gridCol w:w="110"/>
        <w:gridCol w:w="60"/>
        <w:gridCol w:w="4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assessing competitive market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chief executive officer’s performance and recommending to the Board the chief executive officer’s compensation;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110"/>
        <w:gridCol w:w="6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recommending to the Board the compensation packages for the NEOs and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competitiveness of each executive’s total compensation package to ensure that we can attract and retain critical management talent;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recommending to the Board any changes to the total compensation programs for the NEOs including, but not limited to, base salary, annual bonuses, long-term incentives and benefits programs.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Following review and discussion by the Compensation Committee, the Compensation Committee recommends to the Board and the Board approves the executive compensation of our Chief Executive Officer and other executive officers. The Compensation Committee is supported in its work by our Chief Legal Officer and Secretary, Chief Administrative Officer and members of the people services team, as well as the Compensation Committee’s independent compensation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Role of Management </w:t>
      </w:r>
    </w:p>
    <w:p>
      <w:pPr>
        <w:pStyle w:val="TextBody"/>
        <w:bidi w:val="0"/>
        <w:spacing w:before="120" w:after="0"/>
        <w:jc w:val="both"/>
        <w:rPr>
          <w:rFonts w:ascii="Times New Roman" w:hAnsi="Times New Roman"/>
          <w:sz w:val="20"/>
        </w:rPr>
      </w:pPr>
      <w:r>
        <w:rPr>
          <w:rFonts w:ascii="Times New Roman" w:hAnsi="Times New Roman"/>
          <w:sz w:val="20"/>
        </w:rPr>
        <w:t xml:space="preserve">Currently, our Chief Executive Officer makes pay recommendations for executive officers, other than himself, to the Compensation Committee based on competitive market data and an assessment of individual performance. Recommendations to the Compensation Committee help establish appropriate and market- competitive compensation opportunities for our executive officers, consistent with our overall pay philosophy. The Compensation Committee considers such recommendations, in conjunction with input from the Compensation Committee’s independent compensation consultant, in making compensation decisions or recommendations to the full Board. No executive officer participates directly in the final deliberations or determinations regarding his or her own compensation package. </w:t>
      </w:r>
    </w:p>
    <w:p>
      <w:pPr>
        <w:pStyle w:val="TextBody"/>
        <w:bidi w:val="0"/>
        <w:spacing w:before="240" w:after="0"/>
        <w:jc w:val="left"/>
        <w:rPr>
          <w:rFonts w:ascii="Times New Roman" w:hAnsi="Times New Roman"/>
          <w:b/>
          <w:i/>
          <w:sz w:val="20"/>
        </w:rPr>
      </w:pPr>
      <w:r>
        <w:rPr>
          <w:rFonts w:ascii="Times New Roman" w:hAnsi="Times New Roman"/>
          <w:b/>
          <w:i/>
          <w:sz w:val="20"/>
        </w:rPr>
        <w:t xml:space="preserve">Role of the Independent Compensation Consultant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Committee has historically retained an independent compensation consultant every other year and most recently retained the services of Aon’s Human Capital Solutions practice, a division of Aon plc (“Aon”), in 2025 for assistance in determining executive compensation levels. The Compensation Committee retains sole authority to hire or terminate any compensation consultant, approve its professional fees, determine the nature and scope of its services and evaluate its performance. The Compensation Committee makes all final decisions regarding executive compensation.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Role of Peer Companies and Competitive Market Data </w:t>
      </w:r>
    </w:p>
    <w:p>
      <w:pPr>
        <w:pStyle w:val="TextBody"/>
        <w:bidi w:val="0"/>
        <w:spacing w:before="240" w:after="0"/>
        <w:jc w:val="both"/>
        <w:rPr>
          <w:rFonts w:ascii="Times New Roman" w:hAnsi="Times New Roman"/>
          <w:sz w:val="20"/>
        </w:rPr>
      </w:pPr>
      <w:r>
        <w:rPr>
          <w:rFonts w:ascii="Times New Roman" w:hAnsi="Times New Roman"/>
          <w:sz w:val="20"/>
        </w:rPr>
        <w:t xml:space="preserve">The following criteria were considered for the development of a peer group for the most recent compensation study, which we used to assist with total executive compensation levels.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Industry: companies similar to Aveanna, based on publicly traded healthcare companies in the Global Industry Classification System (GICS);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Company size: Approximately one-third to three-times Aveanna’s annual revenues, with a secondary focus on market capitalization;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Reverse peers: Companies considering Aveanna a peer;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Peers of peers: Companies used in the peer groups of potential peer companies; and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Competitors: Companies that compete with Aveanna for business and management talent.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Utilizing the above criteria, Aon identified the following 15 peer companies for the compensation study: </w:t>
      </w:r>
    </w:p>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3260"/>
        <w:gridCol w:w="120"/>
        <w:gridCol w:w="3185"/>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center"/>
          </w:tcPr>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Acadia Healthcare Company, Inc.</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Adapt Health</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Addus HomeCare Corporation</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Amedisys, Inc.</w:t>
            </w:r>
          </w:p>
        </w:tc>
        <w:tc>
          <w:tcPr>
            <w:tcW w:w="1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Enhabit, Inc.</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National HealthCare Corporation</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Option Care Health, Inc.</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Pediatrix Medical Group, Inc.</w:t>
            </w:r>
          </w:p>
        </w:tc>
      </w:tr>
      <w:tr>
        <w:trPr/>
        <w:tc>
          <w:tcPr>
            <w:tcW w:w="3260" w:type="dxa"/>
            <w:tcBorders/>
            <w:vAlign w:val="center"/>
          </w:tcPr>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AMN Healthcare Services, Inc.</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Brookdale Senior Living</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Chemed Corporation</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Cross Country Healthcare, Inc.</w:t>
            </w:r>
          </w:p>
        </w:tc>
        <w:tc>
          <w:tcPr>
            <w:tcW w:w="1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RadNet, Inc.</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Surgery Partners, Inc.</w:t>
            </w:r>
          </w:p>
          <w:p>
            <w:pPr>
              <w:pStyle w:val="TableContents"/>
              <w:bidi w:val="0"/>
              <w:spacing w:before="0" w:after="0"/>
              <w:jc w:val="both"/>
              <w:rPr/>
            </w:pPr>
            <w:r>
              <w:rPr/>
              <w:t>•</w:t>
            </w:r>
          </w:p>
          <w:p>
            <w:pPr>
              <w:pStyle w:val="TableContents"/>
              <w:bidi w:val="0"/>
              <w:spacing w:before="0" w:after="0"/>
              <w:jc w:val="both"/>
              <w:rPr>
                <w:rFonts w:ascii="Times New Roman" w:hAnsi="Times New Roman"/>
              </w:rPr>
            </w:pPr>
            <w:r>
              <w:rPr>
                <w:rFonts w:ascii="Times New Roman" w:hAnsi="Times New Roman"/>
              </w:rPr>
              <w:t>The Pennant Group, Inc.</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used competitive compensation data from the most recent total compensation study of peer companies to inform its decisions about overall compensation opportunities and specific compensation elements. The Compensation Committee does not benchmark specific compensation elements or total compensation to any specific percentile relative to the peer companies or the broader U.S. market. Instead, the Compensation Committee applies judgment and discretion in establishing targeted pay levels, considering not only competitive market data, but also factors such as the Company’s overall and individual performance, scope of responsibility, critical needs and skill sets, leadership potential and succession planning.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Timing of Compensation Decisions </w:t>
      </w:r>
    </w:p>
    <w:p>
      <w:pPr>
        <w:pStyle w:val="TextBody"/>
        <w:bidi w:val="0"/>
        <w:spacing w:before="240" w:after="0"/>
        <w:jc w:val="both"/>
        <w:rPr>
          <w:rFonts w:ascii="Times New Roman" w:hAnsi="Times New Roman"/>
          <w:sz w:val="20"/>
        </w:rPr>
      </w:pPr>
      <w:r>
        <w:rPr>
          <w:rFonts w:ascii="Times New Roman" w:hAnsi="Times New Roman"/>
          <w:sz w:val="20"/>
        </w:rPr>
        <w:t xml:space="preserve">At the first annual meeting of the Board during each fiscal year, the Compensation Committee makes compensation recommendations for our executives, including our Named Executive Officers. Recommendations include achievement levels for prior year targets, as well as current year base salaries, annual non-equity compensation and long-term equity incentives. The Committee also makes periodic compensation decisions for executives hired during the year. </w:t>
      </w:r>
    </w:p>
    <w:p>
      <w:pPr>
        <w:pStyle w:val="TextBody"/>
        <w:bidi w:val="0"/>
        <w:spacing w:before="240" w:after="0"/>
        <w:jc w:val="left"/>
        <w:rPr>
          <w:rFonts w:ascii="Times New Roman" w:hAnsi="Times New Roman"/>
          <w:b/>
          <w:sz w:val="20"/>
        </w:rPr>
      </w:pPr>
      <w:r>
        <w:rPr>
          <w:rFonts w:ascii="Times New Roman" w:hAnsi="Times New Roman"/>
          <w:b/>
          <w:sz w:val="20"/>
        </w:rPr>
        <w:t xml:space="preserve">2025 Compensation Elements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240" w:after="0"/>
        <w:jc w:val="both"/>
        <w:rPr>
          <w:rFonts w:ascii="Times New Roman" w:hAnsi="Times New Roman"/>
          <w:sz w:val="20"/>
        </w:rPr>
      </w:pPr>
      <w:r>
        <w:rPr>
          <w:rFonts w:ascii="Times New Roman" w:hAnsi="Times New Roman"/>
          <w:sz w:val="20"/>
        </w:rPr>
        <w:t xml:space="preserve">Base salaries are designed to recognize the competency, experience and performance an executive brings to the position. The Compensation Committee will recommend changes in base salary from time to time primarily based on a comparison to peer group market data, individual and Company performance, internal equity, value to the organization, promotions and the specific responsibilities compared to market. The Compensation Committee reviews base salaries for our executive officers annually. Set forth below are the respective base salaries for our Named Executive Officers, together with the percentage increases, if any, from the preceding fiscal year: </w:t>
      </w:r>
    </w:p>
    <w:p>
      <w:pPr>
        <w:pStyle w:val="TextBody"/>
        <w:bidi w:val="0"/>
        <w:spacing w:before="0" w:after="0"/>
        <w:jc w:val="left"/>
        <w:rPr/>
      </w:pPr>
      <w:r>
        <w:rPr/>
        <w:t> </w:t>
      </w:r>
    </w:p>
    <w:tbl>
      <w:tblPr>
        <w:tblW w:w="5835" w:type="dxa"/>
        <w:jc w:val="left"/>
        <w:tblInd w:w="0" w:type="dxa"/>
        <w:tblLayout w:type="fixed"/>
        <w:tblCellMar>
          <w:top w:w="0" w:type="dxa"/>
          <w:left w:w="0" w:type="dxa"/>
          <w:bottom w:w="0" w:type="dxa"/>
          <w:right w:w="0" w:type="dxa"/>
        </w:tblCellMar>
      </w:tblPr>
      <w:tblGrid>
        <w:gridCol w:w="1745"/>
        <w:gridCol w:w="120"/>
        <w:gridCol w:w="60"/>
        <w:gridCol w:w="1880"/>
        <w:gridCol w:w="60"/>
        <w:gridCol w:w="120"/>
        <w:gridCol w:w="185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745" w:type="dxa"/>
            <w:tcBorders>
              <w:top w:val="single" w:sz="6" w:space="0" w:color="000000"/>
            </w:tcBorders>
            <w:shd w:fill="CCEEFF" w:val="clear"/>
            <w:tcMar>
              <w:top w:w="28" w:type="dxa"/>
            </w:tcMar>
            <w:vAlign w:val="center"/>
          </w:tcPr>
          <w:p>
            <w:pPr>
              <w:pStyle w:val="TableContents"/>
              <w:bidi w:val="0"/>
              <w:spacing w:before="0" w:after="283"/>
              <w:jc w:val="left"/>
              <w:rPr/>
            </w:pPr>
            <w:r>
              <w:rPr/>
              <w:t> </w:t>
            </w:r>
          </w:p>
        </w:tc>
        <w:tc>
          <w:tcPr>
            <w:tcW w:w="2120" w:type="dxa"/>
            <w:gridSpan w:val="4"/>
            <w:tcBorders>
              <w:top w:val="single" w:sz="6" w:space="0" w:color="000000"/>
            </w:tcBorders>
            <w:shd w:fill="CCEEFF" w:val="clear"/>
            <w:tcMar>
              <w:top w:w="28" w:type="dxa"/>
            </w:tcMar>
            <w:vAlign w:val="center"/>
          </w:tcPr>
          <w:p>
            <w:pPr>
              <w:pStyle w:val="TableContents"/>
              <w:bidi w:val="0"/>
              <w:spacing w:before="0" w:after="283"/>
              <w:jc w:val="left"/>
              <w:rPr/>
            </w:pPr>
            <w:r>
              <w:rPr/>
              <w:t> </w:t>
            </w:r>
          </w:p>
        </w:tc>
        <w:tc>
          <w:tcPr>
            <w:tcW w:w="1970" w:type="dxa"/>
            <w:gridSpan w:val="2"/>
            <w:tcBorders>
              <w:top w:val="single" w:sz="6" w:space="0" w:color="000000"/>
            </w:tcBorders>
            <w:shd w:fill="CCEEFF" w:val="clear"/>
            <w:tcMar>
              <w:top w:w="28" w:type="dxa"/>
            </w:tcMar>
            <w:vAlign w:val="center"/>
          </w:tcPr>
          <w:p>
            <w:pPr>
              <w:pStyle w:val="TableContents"/>
              <w:bidi w:val="0"/>
              <w:spacing w:before="0" w:after="283"/>
              <w:jc w:val="left"/>
              <w:rPr/>
            </w:pPr>
            <w:r>
              <w:rPr/>
              <w:t> </w:t>
            </w:r>
          </w:p>
        </w:tc>
      </w:tr>
      <w:tr>
        <w:trPr/>
        <w:tc>
          <w:tcPr>
            <w:tcW w:w="17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r>
              <w:rPr>
                <w:b/>
              </w:rPr>
              <w:t>Name</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40" w:type="dxa"/>
            <w:gridSpan w:val="2"/>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Fiscal Year 2025</w:t>
              <w:br/>
              <w:t>Base Salary</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Change from </w:t>
              <w:br/>
              <w:t>Fiscal Year 2024 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pPr>
            <w:r>
              <w:rPr/>
              <w:t> </w:t>
            </w:r>
            <w:r>
              <w:rPr>
                <w:rFonts w:ascii="Times New Roman" w:hAnsi="Times New Roman"/>
                <w:sz w:val="20"/>
              </w:rPr>
              <w:t>Jeff Shaner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    </w:t>
            </w:r>
            <w:r>
              <w:rPr/>
              <w:t>$750,000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r>
              <w:rPr/>
              <w:t>0% 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pPr>
            <w:r>
              <w:rPr/>
              <w:t> </w:t>
            </w:r>
            <w:r>
              <w:rPr>
                <w:rFonts w:ascii="Times New Roman" w:hAnsi="Times New Roman"/>
                <w:sz w:val="20"/>
              </w:rPr>
              <w:t>Matthew Buckhalter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18% 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000000"/>
            </w:tcBorders>
            <w:tcMar>
              <w:bottom w:w="28" w:type="dxa"/>
            </w:tcMar>
            <w:vAlign w:val="center"/>
          </w:tcPr>
          <w:p>
            <w:pPr>
              <w:pStyle w:val="TableContents"/>
              <w:bidi w:val="0"/>
              <w:spacing w:before="0" w:after="0"/>
              <w:jc w:val="left"/>
              <w:rPr/>
            </w:pPr>
            <w:r>
              <w:rPr/>
              <w:t> </w:t>
            </w:r>
            <w:r>
              <w:rPr>
                <w:rFonts w:ascii="Times New Roman" w:hAnsi="Times New Roman"/>
                <w:sz w:val="20"/>
              </w:rPr>
              <w:t>Ed Reisz</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28" w:type="dxa"/>
            </w:tcMar>
            <w:vAlign w:val="center"/>
          </w:tcPr>
          <w:p>
            <w:pPr>
              <w:pStyle w:val="TableContents"/>
              <w:bidi w:val="0"/>
              <w:spacing w:before="0" w:after="283"/>
              <w:jc w:val="right"/>
              <w:rPr/>
            </w:pPr>
            <w:r>
              <w:rPr/>
              <w:t>$450,000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tcMar>
              <w:bottom w:w="28" w:type="dxa"/>
            </w:tcMar>
            <w:vAlign w:val="center"/>
          </w:tcPr>
          <w:p>
            <w:pPr>
              <w:pStyle w:val="TableContents"/>
              <w:bidi w:val="0"/>
              <w:spacing w:before="0" w:after="283"/>
              <w:jc w:val="center"/>
              <w:rPr/>
            </w:pPr>
            <w:r>
              <w:rPr/>
              <w:t> </w:t>
            </w:r>
            <w:r>
              <w:rPr/>
              <w:t>0% 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Annual Non-Equity Incentive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Our NEOs are eligible to earn annual non-equity incentive compensation based on fiscal year performance. The annual non-equity incentive compensation plan is designed to reward our executives for superior annual performance in key areas that we believe create long-term value for stockholders. For fiscal year 2025, the Compensation Committee approved the following performance metrics for our executive team: </w:t>
      </w:r>
    </w:p>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Revenue (30% of target) and Adjusted EBITDA (70% of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believe revenue and Adjusted EBITDA are important metrics for measuring performance levels because these metrics represent core operating results. Revenue is measured in accordance with U.S. generally accepted accounting principles (“GAAP”). Adjusted EBITDA is measured in accordance with the calculations of our Adjusted EBITDA as disclosed in Item 7, Management’s Discussion and Analysis of Financial Condition and Results of Operations, of our Annual Report on Form 10-K for the fiscal year ended January 3,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Upon completion of the fiscal year, the Compensation Committee determines achievement levels versus the pre-approved performance targets. The Compensation Committee also performs a comprehensive review of the Company’s overall financial performance. When performance falls between an achievement threshold, target and maximum performance levels, earned amounts are interpolated on a straight-line basis between points to determine compensation. Performance achievement below the threshold level generally will result in a lower bonus amount, in the Compensation Committee’s discretion, or no bonus at all. The Compensation Committee retains discretion to make adjustments as needed to incorporate the results of its comprehensive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u w:val="single"/>
        </w:rPr>
        <w:t>Target award opportunities</w:t>
      </w:r>
      <w:r>
        <w:rPr>
          <w:rFonts w:ascii="Times New Roman" w:hAnsi="Times New Roman"/>
          <w:sz w:val="20"/>
        </w:rPr>
        <w:t xml:space="preserve">: The following target non-equity incentive compensation (as a percentage of base salary) was approved for fiscal year 2025. </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1745"/>
        <w:gridCol w:w="120"/>
        <w:gridCol w:w="2795"/>
        <w:gridCol w:w="120"/>
        <w:gridCol w:w="185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745" w:type="dxa"/>
            <w:tcBorders>
              <w:top w:val="single" w:sz="6" w:space="0" w:color="000000"/>
            </w:tcBorders>
            <w:shd w:fill="CCEEFF" w:val="clear"/>
            <w:tcMar>
              <w:top w:w="28" w:type="dxa"/>
            </w:tcMar>
            <w:vAlign w:val="center"/>
          </w:tcPr>
          <w:p>
            <w:pPr>
              <w:pStyle w:val="TableContents"/>
              <w:bidi w:val="0"/>
              <w:spacing w:before="0" w:after="283"/>
              <w:jc w:val="left"/>
              <w:rPr/>
            </w:pPr>
            <w:r>
              <w:rPr/>
              <w:t> </w:t>
            </w:r>
          </w:p>
        </w:tc>
        <w:tc>
          <w:tcPr>
            <w:tcW w:w="2915" w:type="dxa"/>
            <w:gridSpan w:val="2"/>
            <w:tcBorders>
              <w:top w:val="single" w:sz="6" w:space="0" w:color="000000"/>
            </w:tcBorders>
            <w:shd w:fill="CCEEFF" w:val="clear"/>
            <w:tcMar>
              <w:top w:w="28" w:type="dxa"/>
            </w:tcMar>
            <w:vAlign w:val="center"/>
          </w:tcPr>
          <w:p>
            <w:pPr>
              <w:pStyle w:val="TableContents"/>
              <w:bidi w:val="0"/>
              <w:spacing w:before="0" w:after="283"/>
              <w:jc w:val="left"/>
              <w:rPr/>
            </w:pPr>
            <w:r>
              <w:rPr/>
              <w:t> </w:t>
            </w:r>
          </w:p>
        </w:tc>
        <w:tc>
          <w:tcPr>
            <w:tcW w:w="1970" w:type="dxa"/>
            <w:gridSpan w:val="2"/>
            <w:tcBorders>
              <w:top w:val="single" w:sz="6" w:space="0" w:color="000000"/>
            </w:tcBorders>
            <w:shd w:fill="CCEEFF" w:val="clear"/>
            <w:tcMar>
              <w:top w:w="28" w:type="dxa"/>
            </w:tcMar>
            <w:vAlign w:val="center"/>
          </w:tcPr>
          <w:p>
            <w:pPr>
              <w:pStyle w:val="TableContents"/>
              <w:bidi w:val="0"/>
              <w:spacing w:before="0" w:after="283"/>
              <w:jc w:val="left"/>
              <w:rPr/>
            </w:pPr>
            <w:r>
              <w:rPr/>
              <w:t> </w:t>
            </w:r>
          </w:p>
        </w:tc>
      </w:tr>
      <w:tr>
        <w:trPr/>
        <w:tc>
          <w:tcPr>
            <w:tcW w:w="17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r>
              <w:rPr>
                <w:b/>
              </w:rPr>
              <w:t>Name</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795"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Fiscal Year 2025 Target (1)</w:t>
              <w:br/>
              <w:t>(% of Salary)</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Change from </w:t>
              <w:br/>
              <w:t>Fiscal Year 2024 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pPr>
            <w:r>
              <w:rPr/>
              <w:t> </w:t>
            </w:r>
            <w:r>
              <w:rPr>
                <w:rFonts w:ascii="Times New Roman" w:hAnsi="Times New Roman"/>
                <w:sz w:val="20"/>
              </w:rPr>
              <w:t>Jeff Shaner</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100%</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0% 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pPr>
            <w:r>
              <w:rPr/>
              <w:t> </w:t>
            </w:r>
            <w:r>
              <w:rPr>
                <w:rFonts w:ascii="Times New Roman" w:hAnsi="Times New Roman"/>
                <w:sz w:val="20"/>
              </w:rPr>
              <w:t>Matthew Buckhalter</w:t>
            </w:r>
          </w:p>
        </w:tc>
        <w:tc>
          <w:tcPr>
            <w:tcW w:w="1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75%</w:t>
            </w:r>
          </w:p>
        </w:tc>
        <w:tc>
          <w:tcPr>
            <w:tcW w:w="12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0% 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1745" w:type="dxa"/>
            <w:tcBorders>
              <w:bottom w:val="single" w:sz="6" w:space="0" w:color="000000"/>
            </w:tcBorders>
            <w:tcMar>
              <w:bottom w:w="28" w:type="dxa"/>
            </w:tcMar>
            <w:vAlign w:val="center"/>
          </w:tcPr>
          <w:p>
            <w:pPr>
              <w:pStyle w:val="TableContents"/>
              <w:bidi w:val="0"/>
              <w:spacing w:before="0" w:after="0"/>
              <w:jc w:val="left"/>
              <w:rPr/>
            </w:pPr>
            <w:r>
              <w:rPr/>
              <w:t> </w:t>
            </w:r>
            <w:r>
              <w:rPr>
                <w:rFonts w:ascii="Times New Roman" w:hAnsi="Times New Roman"/>
                <w:sz w:val="20"/>
              </w:rPr>
              <w:t>Ed Reisz</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795" w:type="dxa"/>
            <w:tcBorders>
              <w:bottom w:val="single" w:sz="6" w:space="0" w:color="000000"/>
            </w:tcBorders>
            <w:tcMar>
              <w:bottom w:w="28" w:type="dxa"/>
            </w:tcMar>
            <w:vAlign w:val="center"/>
          </w:tcPr>
          <w:p>
            <w:pPr>
              <w:pStyle w:val="TableContents"/>
              <w:bidi w:val="0"/>
              <w:spacing w:before="0" w:after="283"/>
              <w:jc w:val="center"/>
              <w:rPr/>
            </w:pPr>
            <w:r>
              <w:rPr/>
              <w:t>75%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50" w:type="dxa"/>
            <w:tcBorders>
              <w:bottom w:val="single" w:sz="6" w:space="0" w:color="000000"/>
            </w:tcBorders>
            <w:tcMar>
              <w:bottom w:w="28" w:type="dxa"/>
            </w:tcMar>
            <w:vAlign w:val="center"/>
          </w:tcPr>
          <w:p>
            <w:pPr>
              <w:pStyle w:val="TableContents"/>
              <w:bidi w:val="0"/>
              <w:spacing w:before="0" w:after="283"/>
              <w:jc w:val="center"/>
              <w:rPr/>
            </w:pPr>
            <w:r>
              <w:rPr/>
              <w:t>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 </w:t>
            </w:r>
          </w:p>
        </w:tc>
        <w:tc>
          <w:tcPr>
            <w:tcW w:w="9937"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Participants may earn from 50% to 200% of target non-equity incentive compensation based on performance achievement between the threshold and maximum levels. Payout opportunities for performance between the threshold, target and maximum levels are interpolated on a straight-line basis. The threshold represents 50% of the target amount; the target level represents 100% of the target amount, and the maximum represents 200% of the target amount.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upon the Compensation Committee’s comprehensive review and evaluation of Aveanna’s performance in 2025 with respect to the aforementioned metrics, the following incentives were approved for fiscal year 2025: </w:t>
      </w:r>
    </w:p>
    <w:p>
      <w:pPr>
        <w:pStyle w:val="TextBody"/>
        <w:bidi w:val="0"/>
        <w:spacing w:before="0" w:after="0"/>
        <w:jc w:val="left"/>
        <w:rPr/>
      </w:pPr>
      <w:r>
        <w:rPr/>
        <w:t> </w:t>
      </w:r>
    </w:p>
    <w:p>
      <w:pPr>
        <w:pStyle w:val="TextBody"/>
        <w:bidi w:val="0"/>
        <w:spacing w:before="0" w:after="0"/>
        <w:jc w:val="left"/>
        <w:rPr/>
      </w:pPr>
      <w:r>
        <w:rPr/>
        <w:t> </w:t>
      </w:r>
    </w:p>
    <w:tbl>
      <w:tblPr>
        <w:tblW w:w="8690" w:type="dxa"/>
        <w:jc w:val="left"/>
        <w:tblInd w:w="0" w:type="dxa"/>
        <w:tblLayout w:type="fixed"/>
        <w:tblCellMar>
          <w:top w:w="0" w:type="dxa"/>
          <w:left w:w="0" w:type="dxa"/>
          <w:bottom w:w="0" w:type="dxa"/>
          <w:right w:w="0" w:type="dxa"/>
        </w:tblCellMar>
      </w:tblPr>
      <w:tblGrid>
        <w:gridCol w:w="1700"/>
        <w:gridCol w:w="120"/>
        <w:gridCol w:w="1715"/>
        <w:gridCol w:w="120"/>
        <w:gridCol w:w="2450"/>
        <w:gridCol w:w="120"/>
        <w:gridCol w:w="246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r>
      <w:tr>
        <w:trPr/>
        <w:tc>
          <w:tcPr>
            <w:tcW w:w="8690" w:type="dxa"/>
            <w:gridSpan w:val="7"/>
            <w:tcBorders>
              <w:top w:val="single" w:sz="6" w:space="0" w:color="000000"/>
              <w:bottom w:val="single" w:sz="6" w:space="0" w:color="000000"/>
            </w:tcBorders>
            <w:shd w:fill="CCEEFF" w:val="clear"/>
            <w:tcMar>
              <w:top w:w="28" w:type="dxa"/>
              <w:bottom w:w="240" w:type="dxa"/>
            </w:tcMar>
            <w:vAlign w:val="center"/>
          </w:tcPr>
          <w:p>
            <w:pPr>
              <w:pStyle w:val="TableContents"/>
              <w:bidi w:val="0"/>
              <w:spacing w:before="0" w:after="0"/>
              <w:jc w:val="center"/>
              <w:rPr/>
            </w:pPr>
            <w:r>
              <w:rPr/>
              <w:t> </w:t>
            </w:r>
            <w:r>
              <w:rPr>
                <w:rFonts w:ascii="Times New Roman" w:hAnsi="Times New Roman"/>
                <w:b/>
                <w:sz w:val="20"/>
              </w:rPr>
              <w:t>Approved Fiscal Year 2025 Actual Non-equity</w:t>
            </w:r>
          </w:p>
          <w:p>
            <w:pPr>
              <w:pStyle w:val="TableContents"/>
              <w:bidi w:val="0"/>
              <w:spacing w:before="0" w:after="20"/>
              <w:jc w:val="center"/>
              <w:rPr/>
            </w:pPr>
            <w:r>
              <w:rPr/>
              <w:t> </w:t>
            </w:r>
            <w:r>
              <w:rPr>
                <w:rFonts w:ascii="Times New Roman" w:hAnsi="Times New Roman"/>
                <w:b/>
                <w:sz w:val="20"/>
              </w:rPr>
              <w:t>Incentive Compensation</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c>
          <w:tcPr>
            <w:tcW w:w="2570"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bottom w:val="single" w:sz="6"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5" w:type="dxa"/>
            <w:tcBorders>
              <w:bottom w:val="single" w:sz="6" w:space="0" w:color="000000"/>
            </w:tcBorders>
            <w:tcMar>
              <w:bottom w:w="28" w:type="dxa"/>
            </w:tcMar>
            <w:vAlign w:val="center"/>
          </w:tcPr>
          <w:p>
            <w:pPr>
              <w:pStyle w:val="TableContents"/>
              <w:bidi w:val="0"/>
              <w:spacing w:before="0" w:after="283"/>
              <w:jc w:val="center"/>
              <w:rPr>
                <w:b/>
              </w:rPr>
            </w:pPr>
            <w:r>
              <w:rPr>
                <w:b/>
              </w:rPr>
              <w:t>Fiscal Year 2025</w:t>
              <w:br/>
              <w:t>Target Incentive</w:t>
              <w:br/>
              <w:t>(% of Salary)</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50" w:type="dxa"/>
            <w:tcBorders>
              <w:bottom w:val="single" w:sz="6" w:space="0" w:color="000000"/>
            </w:tcBorders>
            <w:tcMar>
              <w:bottom w:w="28" w:type="dxa"/>
            </w:tcMar>
            <w:vAlign w:val="center"/>
          </w:tcPr>
          <w:p>
            <w:pPr>
              <w:pStyle w:val="TableContents"/>
              <w:bidi w:val="0"/>
              <w:spacing w:before="0" w:after="283"/>
              <w:jc w:val="center"/>
              <w:rPr>
                <w:b/>
              </w:rPr>
            </w:pPr>
            <w:r>
              <w:rPr>
                <w:b/>
              </w:rPr>
              <w:t>Fiscal Year 2025 Actual</w:t>
              <w:br/>
              <w:t>Incentive Earned</w:t>
              <w:br/>
              <w:t>(% of Target)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65" w:type="dxa"/>
            <w:tcBorders>
              <w:bottom w:val="single" w:sz="6" w:space="0" w:color="000000"/>
            </w:tcBorders>
            <w:tcMar>
              <w:bottom w:w="28" w:type="dxa"/>
            </w:tcMar>
            <w:vAlign w:val="center"/>
          </w:tcPr>
          <w:p>
            <w:pPr>
              <w:pStyle w:val="TableContents"/>
              <w:bidi w:val="0"/>
              <w:spacing w:before="0" w:after="283"/>
              <w:jc w:val="center"/>
              <w:rPr>
                <w:b/>
              </w:rPr>
            </w:pPr>
            <w:r>
              <w:rPr>
                <w:b/>
              </w:rPr>
              <w:t>Fiscal Year 2025 Actual</w:t>
              <w:br/>
              <w:t>Incentive Earned</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Jeff Shaner</w:t>
            </w:r>
          </w:p>
        </w:tc>
        <w:tc>
          <w:tcPr>
            <w:tcW w:w="120" w:type="dxa"/>
            <w:tcBorders/>
            <w:vAlign w:val="center"/>
          </w:tcPr>
          <w:p>
            <w:pPr>
              <w:pStyle w:val="TableContents"/>
              <w:bidi w:val="0"/>
              <w:spacing w:before="0" w:after="283"/>
              <w:jc w:val="left"/>
              <w:rPr/>
            </w:pPr>
            <w:r>
              <w:rPr/>
              <w:t>  </w:t>
            </w:r>
          </w:p>
        </w:tc>
        <w:tc>
          <w:tcPr>
            <w:tcW w:w="1715" w:type="dxa"/>
            <w:tcBorders>
              <w:right w:val="single" w:sz="6" w:space="0" w:color="000000"/>
            </w:tcBorders>
            <w:tcMar>
              <w:right w:w="28" w:type="dxa"/>
            </w:tcMar>
            <w:vAlign w:val="center"/>
          </w:tcPr>
          <w:p>
            <w:pPr>
              <w:pStyle w:val="TableContents"/>
              <w:bidi w:val="0"/>
              <w:spacing w:before="0" w:after="283"/>
              <w:jc w:val="center"/>
              <w:rPr/>
            </w:pPr>
            <w:r>
              <w:rPr/>
              <w:t>100%</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200%</w:t>
            </w:r>
          </w:p>
        </w:tc>
        <w:tc>
          <w:tcPr>
            <w:tcW w:w="1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center"/>
              <w:rPr/>
            </w:pPr>
            <w:r>
              <w:rPr/>
              <w:t>$1,500,000</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8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2570"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Buckhalter</w:t>
            </w:r>
          </w:p>
        </w:tc>
        <w:tc>
          <w:tcPr>
            <w:tcW w:w="120" w:type="dxa"/>
            <w:tcBorders/>
            <w:vAlign w:val="center"/>
          </w:tcPr>
          <w:p>
            <w:pPr>
              <w:pStyle w:val="TableContents"/>
              <w:bidi w:val="0"/>
              <w:spacing w:before="0" w:after="283"/>
              <w:jc w:val="left"/>
              <w:rPr/>
            </w:pPr>
            <w:r>
              <w:rPr/>
              <w:t>  </w:t>
            </w:r>
          </w:p>
        </w:tc>
        <w:tc>
          <w:tcPr>
            <w:tcW w:w="1715" w:type="dxa"/>
            <w:tcBorders>
              <w:right w:val="single" w:sz="6" w:space="0" w:color="000000"/>
            </w:tcBorders>
            <w:tcMar>
              <w:right w:w="28" w:type="dxa"/>
            </w:tcMar>
            <w:vAlign w:val="center"/>
          </w:tcPr>
          <w:p>
            <w:pPr>
              <w:pStyle w:val="TableContents"/>
              <w:bidi w:val="0"/>
              <w:spacing w:before="0" w:after="283"/>
              <w:jc w:val="center"/>
              <w:rPr/>
            </w:pPr>
            <w:r>
              <w:rPr/>
              <w:t>75%</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center"/>
              <w:rPr/>
            </w:pPr>
            <w:r>
              <w:rPr/>
              <w:t>200%</w:t>
            </w:r>
          </w:p>
        </w:tc>
        <w:tc>
          <w:tcPr>
            <w:tcW w:w="12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center"/>
              <w:rPr/>
            </w:pPr>
            <w:r>
              <w:rPr/>
              <w:t>$750,000</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18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2570" w:type="dxa"/>
            <w:gridSpan w:val="2"/>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Ed Reisz</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center"/>
              <w:rPr/>
            </w:pPr>
            <w:r>
              <w:rPr/>
              <w:t>75%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50" w:type="dxa"/>
            <w:tcBorders>
              <w:bottom w:val="single" w:sz="6" w:space="0" w:color="000000"/>
            </w:tcBorders>
            <w:tcMar>
              <w:bottom w:w="28" w:type="dxa"/>
            </w:tcMar>
            <w:vAlign w:val="center"/>
          </w:tcPr>
          <w:p>
            <w:pPr>
              <w:pStyle w:val="TableContents"/>
              <w:bidi w:val="0"/>
              <w:spacing w:before="0" w:after="283"/>
              <w:jc w:val="center"/>
              <w:rPr/>
            </w:pPr>
            <w:r>
              <w:rPr/>
              <w:t>200%</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65" w:type="dxa"/>
            <w:tcBorders>
              <w:bottom w:val="single" w:sz="6" w:space="0" w:color="000000"/>
            </w:tcBorders>
            <w:tcMar>
              <w:bottom w:w="28" w:type="dxa"/>
            </w:tcMar>
            <w:vAlign w:val="center"/>
          </w:tcPr>
          <w:p>
            <w:pPr>
              <w:pStyle w:val="TableContents"/>
              <w:bidi w:val="0"/>
              <w:spacing w:before="0" w:after="283"/>
              <w:jc w:val="center"/>
              <w:rPr/>
            </w:pPr>
            <w:r>
              <w:rPr/>
              <w:t>$675,000</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Long-Term Equity Incentive Plans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base salary and annual incentive compensation, each of our Named Executive Officers is provided long-term equity incentive compensation. The use of long-term equity incentives creates a link between executive compensation and our long-term performance, thereby creating alignment between executive and stockholder interests. </w:t>
      </w:r>
    </w:p>
    <w:p>
      <w:pPr>
        <w:pStyle w:val="TextBody"/>
        <w:bidi w:val="0"/>
        <w:spacing w:before="240" w:after="0"/>
        <w:jc w:val="left"/>
        <w:rPr>
          <w:rFonts w:ascii="Times New Roman" w:hAnsi="Times New Roman"/>
          <w:b/>
          <w:i/>
          <w:sz w:val="20"/>
        </w:rPr>
      </w:pPr>
      <w:r>
        <w:rPr>
          <w:rFonts w:ascii="Times New Roman" w:hAnsi="Times New Roman"/>
          <w:b/>
          <w:i/>
          <w:sz w:val="20"/>
        </w:rPr>
        <w:t xml:space="preserve">2021 Plan </w:t>
      </w:r>
    </w:p>
    <w:p>
      <w:pPr>
        <w:pStyle w:val="TextBody"/>
        <w:bidi w:val="0"/>
        <w:spacing w:before="240" w:after="0"/>
        <w:jc w:val="both"/>
        <w:rPr>
          <w:rFonts w:ascii="Times New Roman" w:hAnsi="Times New Roman"/>
          <w:sz w:val="20"/>
        </w:rPr>
      </w:pPr>
      <w:r>
        <w:rPr>
          <w:rFonts w:ascii="Times New Roman" w:hAnsi="Times New Roman"/>
          <w:sz w:val="20"/>
        </w:rPr>
        <w:t xml:space="preserve">We have adopted the 2021 Plan, which became effective on April 28, 2021, the day the registration statement filed in connection with our initial public offering became effective. On and after the 2021 Plan’s Effective Date, no new awards may be granted under our previous stock incentive plan (the “2017 Plan”). Shares of our common stock subject to awards forfeited or cancelled under the 2017 Plan became available for issuance under the 2021 Plan. The 2021 Plan is designed to provide the Board and the Compensation Committee with flexibility in terms of the types of awards that may be granted and the underlying terms and conditions of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Long-Term Incentives – Fiscal Year 2022 Grants </w:t>
      </w:r>
    </w:p>
    <w:p>
      <w:pPr>
        <w:pStyle w:val="TextBody"/>
        <w:bidi w:val="0"/>
        <w:spacing w:before="240" w:after="0"/>
        <w:jc w:val="both"/>
        <w:rPr>
          <w:rFonts w:ascii="Times New Roman" w:hAnsi="Times New Roman"/>
          <w:sz w:val="20"/>
        </w:rPr>
      </w:pPr>
      <w:r>
        <w:rPr>
          <w:rFonts w:ascii="Times New Roman" w:hAnsi="Times New Roman"/>
          <w:sz w:val="20"/>
        </w:rPr>
        <w:t xml:space="preserve">In the first quarter of 2022, the Compensation Committee, with the assistance of Aon, approved a new long-term incentive (“LTI”) structure for fiscal year 2022, which consisted of 50% PSUs and 50% RSUs for all executive officers and some senior management groups, and 100% RSUs for certain other senior management groups.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Performance shares: Originally weighted 50% on annual Adjusted EBITDA performance and 50% on three-year relative total shareholder return (“TSR”) performance and amended in 2025 to be only weighted on 2025 annual Adjusted EBITDA performance. Earned amounts based on 2025 annual Adjusted EBITDA vested at the end of 2025.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Restricted stock units: Vesting occurs on a cliff basis three years after the grant date.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Long-Term Incentives – Fiscal Year 2025 Grants </w:t>
      </w:r>
    </w:p>
    <w:p>
      <w:pPr>
        <w:pStyle w:val="TextBody"/>
        <w:bidi w:val="0"/>
        <w:spacing w:before="240" w:after="0"/>
        <w:jc w:val="both"/>
        <w:rPr>
          <w:rFonts w:ascii="Times New Roman" w:hAnsi="Times New Roman"/>
          <w:sz w:val="20"/>
        </w:rPr>
      </w:pPr>
      <w:r>
        <w:rPr>
          <w:rFonts w:ascii="Times New Roman" w:hAnsi="Times New Roman"/>
          <w:sz w:val="20"/>
        </w:rPr>
        <w:t xml:space="preserve">In the first quarter of fiscal year 2025, the Compensation Committee approved a new LTI grant for fiscal year 2025, which consisted of 50% PSUs and 50% RSUs for all participants.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Performance shares: Weighted on annual Adjusted EBITDA performance, which can be met in any one-year period over the three years subsequent to the grant date.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Restricted stock units: Vesting occurs on a cliff basis three years after the grant date. </w:t>
            </w:r>
          </w:p>
        </w:tc>
      </w:tr>
    </w:tbl>
    <w:p>
      <w:pPr>
        <w:pStyle w:val="TextBody"/>
        <w:bidi w:val="0"/>
        <w:spacing w:before="120" w:after="0"/>
        <w:jc w:val="both"/>
        <w:rPr>
          <w:rFonts w:ascii="Times New Roman" w:hAnsi="Times New Roman"/>
          <w:sz w:val="20"/>
        </w:rPr>
      </w:pPr>
      <w:r>
        <w:rPr>
          <w:rFonts w:ascii="Times New Roman" w:hAnsi="Times New Roman"/>
          <w:sz w:val="20"/>
        </w:rPr>
        <w:t xml:space="preserve">See “—Executive Compensation Objectives and Philosophy—Fiscal Year 2025 NEO Target Compensation Structure Summary—Long-Term Incentives” for further details on the LTI grants to our NEOs for fiscal year 2025.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Risk Assessment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is responsible for overseeing the risks relating to compensation policies and practices affecting senior management on an ongoing basis. The Compensation Committee believes our governance policies and compensation structure result in a compensation system that is not reasonably likely to lead to management decisions that would have a material adverse effect on the Company. We believe that the following features of our programs mitigate this risk: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Compensation Committee retained an independent compensation consultant, Aon, to assist with 2025 compensation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Compensation Committee recommends for Board approval the annual non-equity incentive compensation plan’s financial goals at the start of the fiscal year, and recommends for approval the performance achievement level and final payments earned after the end of the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annual non-equity incentive compensation plan has capped potential payouts at 200% of the target opportunity to mitigate potential windfalls;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utilize a mix of cash and equity incentive programs, and all equity awards granted to our NEOs have multi-year vesting;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utilize competitive severance and change-in-control arrangements to help ensure executives continue to work towards our stockholders’ best interests in light of potential employment uncertainty, which were updated in new employment agreements that we entered into with senior management, including our NEOs, in February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executives are subject to minimum stock ownership guidelines and limitations on trading in our securities, including prohibitions on hedging and pledging.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and Accounting Implications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operates its compensation programs with the good faith intention of complying with Section 409A of the U.S. Internal Revenue Code of 1986, as amended (the “Code”), and considers the impact of Section 409A of the Code treatment when determining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Section 162(m) of the Code limits us to a deduction for federal income tax purposes of no more than $1 million of compensation paid to certain executive officers in a taxable year. Our Compensation Committee considers the impact of Section 162(m) of the Code when making compensation decisions. </w:t>
      </w:r>
    </w:p>
    <w:p>
      <w:pPr>
        <w:pStyle w:val="TextBody"/>
        <w:bidi w:val="0"/>
        <w:spacing w:before="240" w:after="0"/>
        <w:jc w:val="both"/>
        <w:rPr>
          <w:rFonts w:ascii="Times New Roman" w:hAnsi="Times New Roman"/>
          <w:sz w:val="20"/>
        </w:rPr>
      </w:pPr>
      <w:r>
        <w:rPr>
          <w:rFonts w:ascii="Times New Roman" w:hAnsi="Times New Roman"/>
          <w:sz w:val="20"/>
        </w:rPr>
        <w:t xml:space="preserve">Section 280G of the Code disallows a tax deduction with respect to “excess parachute payments” to certain executive officers of companies that undergo a change in control. In addition, Section 4999 of the Code imposes a 20% excise tax penalty on the individual receiving the “excess parachute payment.” Parachute payments are compensation that is linked to or triggered by a change in control and may include, but are not limited to, bonus payments, severance payments, certain fringe benefits, and payments and acceleration of vesting from long-term incentive plans or programs and other equity-based compensation. “Excess parachute payments” are parachute payments that exceed a threshold determined under Section 280G of the Code based on an executive officer’s prior compensation. In approving compensation arrangements for our executive officers, our Compensation Committee considers all elements of the cost to us of providing such compensation, including the potential impact of Section 280G of the Code. However, our Compensation Committee may, in its judgment, authorize compensation arrangements that could give rise to loss of deductibility of Section 280G of the Code and the imposition of excise taxes under Section 4999 of the Code when it believes that such arrangements are appropriate to attract and retain executive talent. We do not provide for excise tax gross-ups to our executive officers and do not expect to do so in the future.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also considers the accounting impact when structuring and approving awards. We account for equity-based payments with respect to our long-term equity incentive award programs in accordance with ASC Topic 718, Compensation—Stock Compensation (“ASC Topic 718”), which governs the appropriate accounting treatment of equity-based payments under GAAP. </w:t>
      </w:r>
    </w:p>
    <w:p>
      <w:pPr>
        <w:pStyle w:val="TextBody"/>
        <w:bidi w:val="0"/>
        <w:spacing w:before="240" w:after="0"/>
        <w:jc w:val="left"/>
        <w:rPr>
          <w:rFonts w:ascii="Times New Roman" w:hAnsi="Times New Roman"/>
          <w:b/>
          <w:sz w:val="20"/>
        </w:rPr>
      </w:pPr>
      <w:r>
        <w:rPr>
          <w:rFonts w:ascii="Times New Roman" w:hAnsi="Times New Roman"/>
          <w:b/>
          <w:sz w:val="20"/>
        </w:rPr>
        <w:t xml:space="preserve">Other Practices, Policies and Guidelines </w:t>
      </w:r>
    </w:p>
    <w:p>
      <w:pPr>
        <w:pStyle w:val="TextBody"/>
        <w:bidi w:val="0"/>
        <w:spacing w:before="240" w:after="0"/>
        <w:jc w:val="both"/>
        <w:rPr>
          <w:rFonts w:ascii="Times New Roman" w:hAnsi="Times New Roman"/>
          <w:sz w:val="20"/>
        </w:rPr>
      </w:pPr>
      <w:r>
        <w:rPr>
          <w:rFonts w:ascii="Times New Roman" w:hAnsi="Times New Roman"/>
          <w:sz w:val="20"/>
        </w:rPr>
        <w:t xml:space="preserve">We provide a comprehensive offering of benefit plans to our employees, including access to insurance for major medical, dental, vision, life, accidental death and dismemberment, short-term disability and long-term disability, as well as healthcare and flexible spending accounts, wellness programs and various other voluntary benefit programs. These benefit programs are generally available to all our eligible full and part time employees. We offer one plan, our Deferred Compensation Plan, as a “top hat” benefit plan solely for our senior executives. </w:t>
      </w:r>
    </w:p>
    <w:p>
      <w:pPr>
        <w:pStyle w:val="TextBody"/>
        <w:bidi w:val="0"/>
        <w:spacing w:before="240" w:after="0"/>
        <w:jc w:val="both"/>
        <w:rPr>
          <w:rFonts w:ascii="Times New Roman" w:hAnsi="Times New Roman"/>
          <w:sz w:val="20"/>
        </w:rPr>
      </w:pPr>
      <w:r>
        <w:rPr>
          <w:rFonts w:ascii="Times New Roman" w:hAnsi="Times New Roman"/>
          <w:b/>
          <w:i/>
          <w:sz w:val="20"/>
        </w:rPr>
        <w:t xml:space="preserve">401(k) Plan. </w:t>
      </w:r>
      <w:r>
        <w:rPr>
          <w:rFonts w:ascii="Times New Roman" w:hAnsi="Times New Roman"/>
          <w:sz w:val="20"/>
        </w:rPr>
        <w:t xml:space="preserve">We maintain a defined contribution plan that is tax-qualified under Section 401(k) of the Code. Our 401(k) Plan is offered on a nondiscriminatory basis to all full-time and part-time regular and temporary employees age 21 or older, except highly compensated senior leaders eligible for the Deferred Compensation Plan, with no minimum hour requirement for participation. Subject to certain limitations imposed by the Code, the 401(k) Plan permits eligible employees to defer receipt of portions of their eligible compensation by making deferral contributions, including after-tax Roth and catch-up contributions. </w:t>
      </w:r>
    </w:p>
    <w:p>
      <w:pPr>
        <w:pStyle w:val="TextBody"/>
        <w:bidi w:val="0"/>
        <w:spacing w:before="240" w:after="0"/>
        <w:jc w:val="both"/>
        <w:rPr>
          <w:rFonts w:ascii="Times New Roman" w:hAnsi="Times New Roman"/>
          <w:sz w:val="20"/>
        </w:rPr>
      </w:pPr>
      <w:r>
        <w:rPr>
          <w:rFonts w:ascii="Times New Roman" w:hAnsi="Times New Roman"/>
          <w:sz w:val="20"/>
        </w:rPr>
        <w:t xml:space="preserve">Participating employees may contribute up to 100% of their eligible compensation, but not more than the statutory limits. Participants are eligible to receive the value of their vested account balance upon termination of employment. Participants are always 100% vested in their voluntary contributions. Vesting of matching contributions, if any, is subject to our vesting schedule at 20% per year for each full year of service during which an employee works 1,000 hours, or upon the attainment of normal retirement age of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Employer matching contributions to the 401(k) Plan are made in an amount equal to 50% of each participant’s pre-tax contribution (up to a maximum of 5% of the participant’s annual eligible compensation), subject to certain other limits. The Compensation Committee believes that matching contributions assist us in attracting and retaining talented employees and executives. The 401(k) Plan provides an opportunity for participants to save money for retirement on a tax-deferred basis and to achieve financial security, thereby promoting retention. </w:t>
      </w:r>
    </w:p>
    <w:p>
      <w:pPr>
        <w:pStyle w:val="TextBody"/>
        <w:bidi w:val="0"/>
        <w:spacing w:before="240" w:after="0"/>
        <w:jc w:val="both"/>
        <w:rPr>
          <w:rFonts w:ascii="Times New Roman" w:hAnsi="Times New Roman"/>
          <w:sz w:val="20"/>
        </w:rPr>
      </w:pPr>
      <w:r>
        <w:rPr>
          <w:rFonts w:ascii="Times New Roman" w:hAnsi="Times New Roman"/>
          <w:b/>
          <w:i/>
          <w:sz w:val="20"/>
        </w:rPr>
        <w:t xml:space="preserve">Deferred Compensation Plan. </w:t>
      </w:r>
      <w:r>
        <w:rPr>
          <w:rFonts w:ascii="Times New Roman" w:hAnsi="Times New Roman"/>
          <w:sz w:val="20"/>
        </w:rPr>
        <w:t xml:space="preserve">We maintain a Deferred Compensation Plan (the “DC Plan”) for highly compensated senior leaders. The DC Plan is a nonqualified retirement plan that covers select employees, including our Named Executive Officers, once eligibility requirements are met. The plan provides eligible employees the opportunity to defer compensation and is offered as an alternative to the Company’s 401(k) plan. Participants in the DC Plan are not eligible to contribute to the 401(k) Plan. </w:t>
      </w:r>
    </w:p>
    <w:p>
      <w:pPr>
        <w:pStyle w:val="TextBody"/>
        <w:bidi w:val="0"/>
        <w:spacing w:before="240" w:after="0"/>
        <w:jc w:val="both"/>
        <w:rPr>
          <w:rFonts w:ascii="Times New Roman" w:hAnsi="Times New Roman"/>
          <w:sz w:val="20"/>
        </w:rPr>
      </w:pPr>
      <w:r>
        <w:rPr>
          <w:rFonts w:ascii="Times New Roman" w:hAnsi="Times New Roman"/>
          <w:sz w:val="20"/>
        </w:rPr>
        <w:t xml:space="preserve">Under the DC Plan, participants may contribute up to 50% of their base salaries and up to 50% of their annual bonus on a pre-tax basis. The DC Plan permits us to make matching contributions and discretionary contributions, as determined by the Compensation Committee. </w:t>
      </w:r>
    </w:p>
    <w:p>
      <w:pPr>
        <w:pStyle w:val="TextBody"/>
        <w:bidi w:val="0"/>
        <w:spacing w:before="240" w:after="0"/>
        <w:jc w:val="both"/>
        <w:rPr>
          <w:rFonts w:ascii="Times New Roman" w:hAnsi="Times New Roman"/>
          <w:sz w:val="20"/>
        </w:rPr>
      </w:pPr>
      <w:r>
        <w:rPr>
          <w:rFonts w:ascii="Times New Roman" w:hAnsi="Times New Roman"/>
          <w:sz w:val="20"/>
        </w:rPr>
        <w:t xml:space="preserve">Participants become 20% vested in our matching contributions each year. Participants also generally become fully vested upon termination of employment due to their death, disability, or attainment of age 55 with five years of service, and upon a change in control of the Company. Additionally, in order to comply with Section 409A of the Internal Revenue Code, the DC Plan limits the timing of distributions and deferral elections. A participant is always 100% vested in his or her own contributions. </w:t>
      </w:r>
    </w:p>
    <w:p>
      <w:pPr>
        <w:pStyle w:val="TextBody"/>
        <w:bidi w:val="0"/>
        <w:spacing w:before="240" w:after="0"/>
        <w:jc w:val="both"/>
        <w:rPr>
          <w:rFonts w:ascii="Times New Roman" w:hAnsi="Times New Roman"/>
          <w:sz w:val="20"/>
        </w:rPr>
      </w:pPr>
      <w:r>
        <w:rPr>
          <w:rFonts w:ascii="Times New Roman" w:hAnsi="Times New Roman"/>
          <w:sz w:val="20"/>
        </w:rPr>
        <w:t xml:space="preserve">Contributions under the DC Plan are credited to a bookkeeping account for the participant. Each account is adjusted for earnings and losses based on the performance of investment options, principally mutual funds, the participant selects. Subject to the requirements of Section 409A of the Internal Revenue Code, distributions under the DC Plan are generally made in a lump sum or up to ten annual installments, as the participant elects, following termination of employment. All pre-tax contributions are unfunded and payable from our general assets, although we have set aside funds in a trust to help us pay those benefits. The assets in this trust are subject to the claims of our general creditors. </w:t>
      </w:r>
    </w:p>
    <w:p>
      <w:pPr>
        <w:pStyle w:val="TextBody"/>
        <w:bidi w:val="0"/>
        <w:spacing w:before="240" w:after="0"/>
        <w:jc w:val="both"/>
        <w:rPr>
          <w:rFonts w:ascii="Times New Roman" w:hAnsi="Times New Roman"/>
          <w:sz w:val="20"/>
        </w:rPr>
      </w:pPr>
      <w:r>
        <w:rPr>
          <w:rFonts w:ascii="Times New Roman" w:hAnsi="Times New Roman"/>
          <w:b/>
          <w:i/>
          <w:sz w:val="20"/>
        </w:rPr>
        <w:t xml:space="preserve">Employee Stock Purchase Plan. </w:t>
      </w:r>
      <w:r>
        <w:rPr>
          <w:rFonts w:ascii="Times New Roman" w:hAnsi="Times New Roman"/>
          <w:sz w:val="20"/>
        </w:rPr>
        <w:t xml:space="preserve">We maintain an Employee Stock Purchase Plan, which we refer to as our ESPP. The ESPP is designed to allow our eligible employees to purchase shares of our common stock with their accumulated payroll deductions at certain stated times during stated offering periods. The ESPP is intended to qualify under Section 423 of the Code.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Vote on Executive Compensation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Say-On-Pay </w:t>
      </w:r>
    </w:p>
    <w:p>
      <w:pPr>
        <w:pStyle w:val="TextBody"/>
        <w:bidi w:val="0"/>
        <w:spacing w:before="240" w:after="0"/>
        <w:jc w:val="both"/>
        <w:rPr>
          <w:rFonts w:ascii="Times New Roman" w:hAnsi="Times New Roman"/>
          <w:sz w:val="20"/>
        </w:rPr>
      </w:pPr>
      <w:r>
        <w:rPr>
          <w:rFonts w:ascii="Times New Roman" w:hAnsi="Times New Roman"/>
          <w:sz w:val="20"/>
        </w:rPr>
        <w:t xml:space="preserve">At the annual meeting of stockholders of the Company held on May 9, 2025, the Company’s stockholders voted, on an advisory, non-binding basis, on the compensation paid to the Company’s Named Executive Officers, otherwise referred to as “say on pay.” The stockholders voted overwhelmingly to approve, on an advisory basis, the compensation of the Company’s Named Executive Officers. The Company’s Board of Directors considered the recommendations of the stockholders and determined that the Company would not make any material modifications to the compensation arrangements for the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798829_13"/>
      <w:bookmarkEnd w:id="14"/>
      <w:r>
        <w:rPr>
          <w:rFonts w:ascii="Times New Roman" w:hAnsi="Times New Roman"/>
          <w:b/>
          <w:sz w:val="20"/>
        </w:rPr>
        <w:t xml:space="preserve">REPORT OF THE COMPENSATION COMMITTEE </w:t>
      </w:r>
    </w:p>
    <w:p>
      <w:pPr>
        <w:pStyle w:val="TextBody"/>
        <w:bidi w:val="0"/>
        <w:spacing w:before="240" w:after="0"/>
        <w:jc w:val="both"/>
        <w:rPr>
          <w:rFonts w:ascii="Times New Roman" w:hAnsi="Times New Roman"/>
          <w:b/>
          <w:i/>
          <w:sz w:val="20"/>
        </w:rPr>
      </w:pPr>
      <w:r>
        <w:rPr>
          <w:rFonts w:ascii="Times New Roman" w:hAnsi="Times New Roman"/>
          <w:b/>
          <w:i/>
          <w:sz w:val="20"/>
        </w:rPr>
        <w:t xml:space="preserve">This Report of the Compensation Committee does not constitute soliciting material, shall not be deemed filed under the Exchange Act and shall not be deemed incorporated by reference by any general statement incorporating by reference this Proxy Statement into any filing under the Securities Act of 1933 or the Exchange Act, except to the extent that we incorporate this Report of the Compensation Committee by specific reference.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of the Board of Directors of Aveanna Healthcare Holdings Inc. has reviewed and discussed the Compensation Discussion and Analysis with management, as required by Item 402(b) of Regulation S-K, and, based on such review and discussions, the Compensation Committee recommended to our Board of Directors that the Compensation Discussion and Analysis be included in this Proxy Statement for the Meeting and incorporated by reference into our Annual Report on Form 10-K for the year ended January 3, 2026. </w:t>
      </w:r>
    </w:p>
    <w:p>
      <w:pPr>
        <w:pStyle w:val="TextBody"/>
        <w:bidi w:val="0"/>
        <w:spacing w:before="240" w:after="0"/>
        <w:jc w:val="both"/>
        <w:rPr>
          <w:rFonts w:ascii="Times New Roman" w:hAnsi="Times New Roman"/>
          <w:sz w:val="20"/>
        </w:rPr>
      </w:pPr>
      <w:r>
        <w:rPr>
          <w:rFonts w:ascii="Times New Roman" w:hAnsi="Times New Roman"/>
          <w:sz w:val="20"/>
        </w:rPr>
        <w:t xml:space="preserve">This report has been approved by the members of the Compensation Committee: </w:t>
      </w:r>
    </w:p>
    <w:p>
      <w:pPr>
        <w:pStyle w:val="TextBody"/>
        <w:bidi w:val="0"/>
        <w:spacing w:before="240" w:after="0"/>
        <w:jc w:val="both"/>
        <w:rPr>
          <w:rFonts w:ascii="Times New Roman" w:hAnsi="Times New Roman"/>
          <w:sz w:val="20"/>
        </w:rPr>
      </w:pPr>
      <w:r>
        <w:rPr>
          <w:rFonts w:ascii="Times New Roman" w:hAnsi="Times New Roman"/>
          <w:sz w:val="20"/>
        </w:rPr>
        <w:t xml:space="preserve">Devin O’Reilly (Chair) </w:t>
      </w:r>
    </w:p>
    <w:p>
      <w:pPr>
        <w:pStyle w:val="TextBody"/>
        <w:bidi w:val="0"/>
        <w:spacing w:before="0" w:after="0"/>
        <w:jc w:val="both"/>
        <w:rPr>
          <w:rFonts w:ascii="Times New Roman" w:hAnsi="Times New Roman"/>
          <w:sz w:val="20"/>
        </w:rPr>
      </w:pPr>
      <w:r>
        <w:rPr>
          <w:rFonts w:ascii="Times New Roman" w:hAnsi="Times New Roman"/>
          <w:sz w:val="20"/>
        </w:rPr>
        <w:t xml:space="preserve">Sam Weil </w:t>
      </w:r>
    </w:p>
    <w:p>
      <w:pPr>
        <w:pStyle w:val="TextBody"/>
        <w:bidi w:val="0"/>
        <w:spacing w:before="0" w:after="0"/>
        <w:jc w:val="both"/>
        <w:rPr>
          <w:rFonts w:ascii="Times New Roman" w:hAnsi="Times New Roman"/>
          <w:sz w:val="20"/>
        </w:rPr>
      </w:pPr>
      <w:r>
        <w:rPr>
          <w:rFonts w:ascii="Times New Roman" w:hAnsi="Times New Roman"/>
          <w:sz w:val="20"/>
        </w:rPr>
        <w:t xml:space="preserve">Steven E. Rodgers </w:t>
      </w:r>
    </w:p>
    <w:p>
      <w:pPr>
        <w:pStyle w:val="TextBody"/>
        <w:bidi w:val="0"/>
        <w:spacing w:before="240" w:after="0"/>
        <w:jc w:val="center"/>
        <w:rPr>
          <w:rFonts w:ascii="Times New Roman" w:hAnsi="Times New Roman"/>
          <w:b/>
          <w:sz w:val="20"/>
        </w:rPr>
      </w:pPr>
      <w:bookmarkStart w:id="15" w:name="rom798829_14"/>
      <w:bookmarkEnd w:id="15"/>
      <w:r>
        <w:rPr>
          <w:rFonts w:ascii="Times New Roman" w:hAnsi="Times New Roman"/>
          <w:b/>
          <w:sz w:val="20"/>
        </w:rPr>
        <w:t xml:space="preserve">COMPENSATION COMMITTEE INTERLOCKS AND INSIDER PARTICIPATION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is currently composed of Devin O’Reilly (Chair), Sam Weil and Steven E. Rodgers and previously included Christopher R. Gordon and Robert M. Williams for a portion of fiscal year 2025. During fiscal year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member of the Compensation Committee was during the year, or formerly, an officer or employee of the Company or any of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member of the Compensation Committee entered into any transaction with our Company in which the amount involved exceeded $120,000 or would otherwise require disclosure pursuant to Item 404 of Regulation 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none of our executive officers served on the compensation committee of any entity where one of that entity’s executive officers served on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none of our executive officers was a director of another entity where one of that entity’s executive officers served on the Compensation Committee;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none of our executive officers served on the compensation committee of another entity where one of that entity’s executive officers served as a director on our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concerning total compensation for our Named Executive Officers for fiscal years 2025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5"/>
        <w:gridCol w:w="60"/>
        <w:gridCol w:w="60"/>
        <w:gridCol w:w="500"/>
        <w:gridCol w:w="60"/>
        <w:gridCol w:w="60"/>
        <w:gridCol w:w="60"/>
        <w:gridCol w:w="800"/>
        <w:gridCol w:w="60"/>
        <w:gridCol w:w="60"/>
        <w:gridCol w:w="199"/>
        <w:gridCol w:w="466"/>
        <w:gridCol w:w="60"/>
        <w:gridCol w:w="60"/>
        <w:gridCol w:w="60"/>
        <w:gridCol w:w="980"/>
        <w:gridCol w:w="60"/>
        <w:gridCol w:w="60"/>
        <w:gridCol w:w="249"/>
        <w:gridCol w:w="581"/>
        <w:gridCol w:w="60"/>
        <w:gridCol w:w="60"/>
        <w:gridCol w:w="85"/>
        <w:gridCol w:w="1405"/>
        <w:gridCol w:w="60"/>
        <w:gridCol w:w="60"/>
        <w:gridCol w:w="120"/>
        <w:gridCol w:w="1370"/>
        <w:gridCol w:w="60"/>
        <w:gridCol w:w="60"/>
        <w:gridCol w:w="60"/>
        <w:gridCol w:w="980"/>
        <w:gridCol w:w="75"/>
      </w:tblGrid>
      <w:tr>
        <w:trPr/>
        <w:tc>
          <w:tcPr>
            <w:tcW w:w="1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5" w:type="dxa"/>
            <w:tcBorders/>
            <w:vAlign w:val="center"/>
          </w:tcPr>
          <w:p>
            <w:pPr>
              <w:pStyle w:val="TableContents"/>
              <w:bidi w:val="0"/>
              <w:spacing w:before="0" w:after="283"/>
              <w:jc w:val="left"/>
              <w:rPr>
                <w:b/>
              </w:rPr>
            </w:pPr>
            <w:r>
              <w:rPr>
                <w:b/>
              </w:rPr>
              <w:t>Name and Principal Position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gridSpan w:val="2"/>
            <w:tcBorders>
              <w:bottom w:val="single" w:sz="6" w:space="0" w:color="000000"/>
            </w:tcBorders>
            <w:tcMar>
              <w:bottom w:w="28" w:type="dxa"/>
            </w:tcMar>
            <w:vAlign w:val="center"/>
          </w:tcPr>
          <w:p>
            <w:pPr>
              <w:pStyle w:val="TableContents"/>
              <w:bidi w:val="0"/>
              <w:spacing w:before="0" w:after="283"/>
              <w:jc w:val="center"/>
              <w:rPr>
                <w:b/>
              </w:rPr>
            </w:pPr>
            <w:r>
              <w:rPr>
                <w:b/>
              </w:rPr>
              <w:t>Bonus</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Stock</w:t>
              <w:br/>
              <w:t>Awards</w:t>
              <w:br/>
              <w:t>($) (1)(4)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Option</w:t>
              <w:br/>
              <w:t>Awards</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 (2)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All Other</w:t>
              <w:br/>
              <w:t>Compensation</w:t>
              <w:br/>
              <w:t>($) (3)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Total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255" w:type="dxa"/>
            <w:tcBorders/>
            <w:shd w:fill="CCEEFF" w:val="clear"/>
            <w:vAlign w:val="center"/>
          </w:tcPr>
          <w:p>
            <w:pPr>
              <w:pStyle w:val="TableContents"/>
              <w:bidi w:val="0"/>
              <w:spacing w:before="0" w:after="283"/>
              <w:jc w:val="left"/>
              <w:rPr>
                <w:sz w:val="4"/>
                <w:szCs w:val="4"/>
              </w:rPr>
            </w:pPr>
            <w:r>
              <w:rPr>
                <w:sz w:val="4"/>
                <w:szCs w:val="4"/>
              </w:rPr>
            </w:r>
          </w:p>
        </w:tc>
        <w:tc>
          <w:tcPr>
            <w:tcW w:w="680" w:type="dxa"/>
            <w:gridSpan w:val="4"/>
            <w:tcBorders/>
            <w:shd w:fill="CCEEFF" w:val="clear"/>
            <w:vAlign w:val="center"/>
          </w:tcPr>
          <w:p>
            <w:pPr>
              <w:pStyle w:val="TableContents"/>
              <w:bidi w:val="0"/>
              <w:spacing w:before="0" w:after="283"/>
              <w:jc w:val="left"/>
              <w:rPr>
                <w:sz w:val="4"/>
                <w:szCs w:val="4"/>
              </w:rPr>
            </w:pPr>
            <w:r>
              <w:rPr>
                <w:sz w:val="4"/>
                <w:szCs w:val="4"/>
              </w:rPr>
            </w:r>
          </w:p>
        </w:tc>
        <w:tc>
          <w:tcPr>
            <w:tcW w:w="980" w:type="dxa"/>
            <w:gridSpan w:val="4"/>
            <w:tcBorders/>
            <w:shd w:fill="CCEEFF" w:val="clear"/>
            <w:vAlign w:val="center"/>
          </w:tcPr>
          <w:p>
            <w:pPr>
              <w:pStyle w:val="TableContents"/>
              <w:bidi w:val="0"/>
              <w:spacing w:before="0" w:after="283"/>
              <w:jc w:val="left"/>
              <w:rPr>
                <w:sz w:val="4"/>
                <w:szCs w:val="4"/>
              </w:rPr>
            </w:pPr>
            <w:r>
              <w:rPr>
                <w:sz w:val="4"/>
                <w:szCs w:val="4"/>
              </w:rPr>
            </w:r>
          </w:p>
        </w:tc>
        <w:tc>
          <w:tcPr>
            <w:tcW w:w="785" w:type="dxa"/>
            <w:gridSpan w:val="4"/>
            <w:tcBorders/>
            <w:shd w:fill="CCEEFF" w:val="clear"/>
            <w:vAlign w:val="center"/>
          </w:tcPr>
          <w:p>
            <w:pPr>
              <w:pStyle w:val="TableContents"/>
              <w:bidi w:val="0"/>
              <w:spacing w:before="0" w:after="283"/>
              <w:jc w:val="left"/>
              <w:rPr>
                <w:sz w:val="4"/>
                <w:szCs w:val="4"/>
              </w:rPr>
            </w:pPr>
            <w:r>
              <w:rPr>
                <w:sz w:val="4"/>
                <w:szCs w:val="4"/>
              </w:rPr>
            </w:r>
          </w:p>
        </w:tc>
        <w:tc>
          <w:tcPr>
            <w:tcW w:w="1160" w:type="dxa"/>
            <w:gridSpan w:val="4"/>
            <w:tcBorders/>
            <w:shd w:fill="CCEEFF" w:val="clear"/>
            <w:vAlign w:val="center"/>
          </w:tcPr>
          <w:p>
            <w:pPr>
              <w:pStyle w:val="TableContents"/>
              <w:bidi w:val="0"/>
              <w:spacing w:before="0" w:after="283"/>
              <w:jc w:val="left"/>
              <w:rPr>
                <w:sz w:val="4"/>
                <w:szCs w:val="4"/>
              </w:rPr>
            </w:pPr>
            <w:r>
              <w:rPr>
                <w:sz w:val="4"/>
                <w:szCs w:val="4"/>
              </w:rPr>
            </w:r>
          </w:p>
        </w:tc>
        <w:tc>
          <w:tcPr>
            <w:tcW w:w="950"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125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Jeffrey Shaner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2,603,993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4,864,165</w:t>
            </w:r>
          </w:p>
        </w:tc>
        <w:tc>
          <w:tcPr>
            <w:tcW w:w="75" w:type="dxa"/>
            <w:tcBorders/>
            <w:shd w:fill="CCEEFF" w:val="clear"/>
            <w:vAlign w:val="center"/>
          </w:tcPr>
          <w:p>
            <w:pPr>
              <w:pStyle w:val="TableContents"/>
              <w:bidi w:val="0"/>
              <w:spacing w:before="0" w:after="283"/>
              <w:jc w:val="left"/>
              <w:rPr/>
            </w:pPr>
            <w:r>
              <w:rPr/>
              <w:t> </w:t>
            </w:r>
          </w:p>
        </w:tc>
      </w:tr>
      <w:tr>
        <w:trPr/>
        <w:tc>
          <w:tcPr>
            <w:tcW w:w="1255" w:type="dxa"/>
            <w:tcBorders/>
            <w:shd w:fill="CCEEFF" w:val="clear"/>
            <w:vAlign w:val="center"/>
          </w:tcPr>
          <w:p>
            <w:pPr>
              <w:pStyle w:val="TableContents"/>
              <w:bidi w:val="0"/>
              <w:spacing w:before="0" w:after="283"/>
              <w:jc w:val="left"/>
              <w:rPr>
                <w:sz w:val="4"/>
                <w:szCs w:val="4"/>
              </w:rPr>
            </w:pPr>
            <w:r>
              <w:rPr>
                <w:sz w:val="4"/>
                <w:szCs w:val="4"/>
              </w:rPr>
            </w:r>
          </w:p>
        </w:tc>
        <w:tc>
          <w:tcPr>
            <w:tcW w:w="680" w:type="dxa"/>
            <w:gridSpan w:val="4"/>
            <w:tcBorders/>
            <w:shd w:fill="CCEEFF" w:val="clear"/>
            <w:vAlign w:val="center"/>
          </w:tcPr>
          <w:p>
            <w:pPr>
              <w:pStyle w:val="TableContents"/>
              <w:bidi w:val="0"/>
              <w:spacing w:before="0" w:after="283"/>
              <w:jc w:val="left"/>
              <w:rPr>
                <w:sz w:val="4"/>
                <w:szCs w:val="4"/>
              </w:rPr>
            </w:pPr>
            <w:r>
              <w:rPr>
                <w:sz w:val="4"/>
                <w:szCs w:val="4"/>
              </w:rPr>
            </w:r>
          </w:p>
        </w:tc>
        <w:tc>
          <w:tcPr>
            <w:tcW w:w="980" w:type="dxa"/>
            <w:gridSpan w:val="4"/>
            <w:tcBorders/>
            <w:shd w:fill="CCEEFF" w:val="clear"/>
            <w:vAlign w:val="center"/>
          </w:tcPr>
          <w:p>
            <w:pPr>
              <w:pStyle w:val="TableContents"/>
              <w:bidi w:val="0"/>
              <w:spacing w:before="0" w:after="283"/>
              <w:jc w:val="left"/>
              <w:rPr>
                <w:sz w:val="4"/>
                <w:szCs w:val="4"/>
              </w:rPr>
            </w:pPr>
            <w:r>
              <w:rPr>
                <w:sz w:val="4"/>
                <w:szCs w:val="4"/>
              </w:rPr>
            </w:r>
          </w:p>
        </w:tc>
        <w:tc>
          <w:tcPr>
            <w:tcW w:w="785" w:type="dxa"/>
            <w:gridSpan w:val="4"/>
            <w:tcBorders/>
            <w:shd w:fill="CCEEFF" w:val="clear"/>
            <w:vAlign w:val="center"/>
          </w:tcPr>
          <w:p>
            <w:pPr>
              <w:pStyle w:val="TableContents"/>
              <w:bidi w:val="0"/>
              <w:spacing w:before="0" w:after="283"/>
              <w:jc w:val="left"/>
              <w:rPr>
                <w:sz w:val="4"/>
                <w:szCs w:val="4"/>
              </w:rPr>
            </w:pPr>
            <w:r>
              <w:rPr>
                <w:sz w:val="4"/>
                <w:szCs w:val="4"/>
              </w:rPr>
            </w:r>
          </w:p>
        </w:tc>
        <w:tc>
          <w:tcPr>
            <w:tcW w:w="1160" w:type="dxa"/>
            <w:gridSpan w:val="4"/>
            <w:tcBorders/>
            <w:shd w:fill="CCEEFF" w:val="clear"/>
            <w:vAlign w:val="center"/>
          </w:tcPr>
          <w:p>
            <w:pPr>
              <w:pStyle w:val="TableContents"/>
              <w:bidi w:val="0"/>
              <w:spacing w:before="0" w:after="283"/>
              <w:jc w:val="left"/>
              <w:rPr>
                <w:sz w:val="4"/>
                <w:szCs w:val="4"/>
              </w:rPr>
            </w:pPr>
            <w:r>
              <w:rPr>
                <w:sz w:val="4"/>
                <w:szCs w:val="4"/>
              </w:rPr>
            </w:r>
          </w:p>
        </w:tc>
        <w:tc>
          <w:tcPr>
            <w:tcW w:w="950"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1255" w:type="dxa"/>
            <w:tcBorders/>
            <w:shd w:fill="CCEEFF" w:val="clear"/>
            <w:vAlign w:val="center"/>
          </w:tcPr>
          <w:p>
            <w:pPr>
              <w:pStyle w:val="TableContents"/>
              <w:bidi w:val="0"/>
              <w:spacing w:before="0" w:after="0"/>
              <w:jc w:val="left"/>
              <w:rPr>
                <w:rFonts w:ascii="Times New Roman" w:hAnsi="Times New Roman"/>
                <w:i/>
                <w:sz w:val="18"/>
              </w:rPr>
            </w:pPr>
            <w:r>
              <w:rPr>
                <w:rFonts w:ascii="Times New Roman" w:hAnsi="Times New Roman"/>
                <w:i/>
                <w:sz w:val="18"/>
              </w:rPr>
              <w:t>Chief Executive Officer (PEO)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2,497,500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1,285,500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4,543,047</w:t>
            </w:r>
          </w:p>
        </w:tc>
        <w:tc>
          <w:tcPr>
            <w:tcW w:w="75" w:type="dxa"/>
            <w:tcBorders/>
            <w:shd w:fill="CCEEFF" w:val="clear"/>
            <w:vAlign w:val="center"/>
          </w:tcPr>
          <w:p>
            <w:pPr>
              <w:pStyle w:val="TableContents"/>
              <w:bidi w:val="0"/>
              <w:spacing w:before="0" w:after="283"/>
              <w:jc w:val="left"/>
              <w:rPr/>
            </w:pPr>
            <w:r>
              <w:rPr/>
              <w:t> </w:t>
            </w:r>
          </w:p>
        </w:tc>
      </w:tr>
      <w:tr>
        <w:trPr/>
        <w:tc>
          <w:tcPr>
            <w:tcW w:w="125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25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Matthew Buckhalter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468,750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701,499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750,000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10,065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1,930,314</w:t>
            </w:r>
          </w:p>
        </w:tc>
        <w:tc>
          <w:tcPr>
            <w:tcW w:w="75" w:type="dxa"/>
            <w:tcBorders/>
            <w:vAlign w:val="center"/>
          </w:tcPr>
          <w:p>
            <w:pPr>
              <w:pStyle w:val="TableContents"/>
              <w:bidi w:val="0"/>
              <w:spacing w:before="0" w:after="283"/>
              <w:jc w:val="left"/>
              <w:rPr/>
            </w:pPr>
            <w:r>
              <w:rPr/>
              <w:t> </w:t>
            </w:r>
          </w:p>
        </w:tc>
      </w:tr>
      <w:tr>
        <w:trPr/>
        <w:tc>
          <w:tcPr>
            <w:tcW w:w="125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255" w:type="dxa"/>
            <w:tcBorders/>
            <w:vAlign w:val="center"/>
          </w:tcPr>
          <w:p>
            <w:pPr>
              <w:pStyle w:val="TableContents"/>
              <w:bidi w:val="0"/>
              <w:spacing w:before="0" w:after="0"/>
              <w:jc w:val="left"/>
              <w:rPr>
                <w:rFonts w:ascii="Times New Roman" w:hAnsi="Times New Roman"/>
                <w:i/>
                <w:sz w:val="18"/>
              </w:rPr>
            </w:pPr>
            <w:r>
              <w:rPr>
                <w:rFonts w:ascii="Times New Roman" w:hAnsi="Times New Roman"/>
                <w:i/>
                <w:sz w:val="18"/>
              </w:rPr>
              <w:t>Chief Financial Officer (PFO)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546,338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9,649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1,703,487</w:t>
            </w:r>
          </w:p>
        </w:tc>
        <w:tc>
          <w:tcPr>
            <w:tcW w:w="75" w:type="dxa"/>
            <w:tcBorders/>
            <w:vAlign w:val="center"/>
          </w:tcPr>
          <w:p>
            <w:pPr>
              <w:pStyle w:val="TableContents"/>
              <w:bidi w:val="0"/>
              <w:spacing w:before="0" w:after="283"/>
              <w:jc w:val="left"/>
              <w:rPr/>
            </w:pPr>
            <w:r>
              <w:rPr/>
              <w:t> </w:t>
            </w:r>
          </w:p>
        </w:tc>
      </w:tr>
      <w:tr>
        <w:trPr/>
        <w:tc>
          <w:tcPr>
            <w:tcW w:w="1255" w:type="dxa"/>
            <w:tcBorders/>
            <w:shd w:fill="CCEEFF" w:val="clear"/>
            <w:vAlign w:val="center"/>
          </w:tcPr>
          <w:p>
            <w:pPr>
              <w:pStyle w:val="TableContents"/>
              <w:bidi w:val="0"/>
              <w:spacing w:before="0" w:after="283"/>
              <w:jc w:val="left"/>
              <w:rPr>
                <w:sz w:val="4"/>
                <w:szCs w:val="4"/>
              </w:rPr>
            </w:pPr>
            <w:r>
              <w:rPr>
                <w:sz w:val="4"/>
                <w:szCs w:val="4"/>
              </w:rPr>
            </w:r>
          </w:p>
        </w:tc>
        <w:tc>
          <w:tcPr>
            <w:tcW w:w="680" w:type="dxa"/>
            <w:gridSpan w:val="4"/>
            <w:tcBorders/>
            <w:shd w:fill="CCEEFF" w:val="clear"/>
            <w:vAlign w:val="center"/>
          </w:tcPr>
          <w:p>
            <w:pPr>
              <w:pStyle w:val="TableContents"/>
              <w:bidi w:val="0"/>
              <w:spacing w:before="0" w:after="283"/>
              <w:jc w:val="left"/>
              <w:rPr>
                <w:sz w:val="4"/>
                <w:szCs w:val="4"/>
              </w:rPr>
            </w:pPr>
            <w:r>
              <w:rPr>
                <w:sz w:val="4"/>
                <w:szCs w:val="4"/>
              </w:rPr>
            </w:r>
          </w:p>
        </w:tc>
        <w:tc>
          <w:tcPr>
            <w:tcW w:w="980" w:type="dxa"/>
            <w:gridSpan w:val="4"/>
            <w:tcBorders/>
            <w:shd w:fill="CCEEFF" w:val="clear"/>
            <w:vAlign w:val="center"/>
          </w:tcPr>
          <w:p>
            <w:pPr>
              <w:pStyle w:val="TableContents"/>
              <w:bidi w:val="0"/>
              <w:spacing w:before="0" w:after="283"/>
              <w:jc w:val="left"/>
              <w:rPr>
                <w:sz w:val="4"/>
                <w:szCs w:val="4"/>
              </w:rPr>
            </w:pPr>
            <w:r>
              <w:rPr>
                <w:sz w:val="4"/>
                <w:szCs w:val="4"/>
              </w:rPr>
            </w:r>
          </w:p>
        </w:tc>
        <w:tc>
          <w:tcPr>
            <w:tcW w:w="785" w:type="dxa"/>
            <w:gridSpan w:val="4"/>
            <w:tcBorders/>
            <w:shd w:fill="CCEEFF" w:val="clear"/>
            <w:vAlign w:val="center"/>
          </w:tcPr>
          <w:p>
            <w:pPr>
              <w:pStyle w:val="TableContents"/>
              <w:bidi w:val="0"/>
              <w:spacing w:before="0" w:after="283"/>
              <w:jc w:val="left"/>
              <w:rPr>
                <w:sz w:val="4"/>
                <w:szCs w:val="4"/>
              </w:rPr>
            </w:pPr>
            <w:r>
              <w:rPr>
                <w:sz w:val="4"/>
                <w:szCs w:val="4"/>
              </w:rPr>
            </w:r>
          </w:p>
        </w:tc>
        <w:tc>
          <w:tcPr>
            <w:tcW w:w="1160" w:type="dxa"/>
            <w:gridSpan w:val="4"/>
            <w:tcBorders/>
            <w:shd w:fill="CCEEFF" w:val="clear"/>
            <w:vAlign w:val="center"/>
          </w:tcPr>
          <w:p>
            <w:pPr>
              <w:pStyle w:val="TableContents"/>
              <w:bidi w:val="0"/>
              <w:spacing w:before="0" w:after="283"/>
              <w:jc w:val="left"/>
              <w:rPr>
                <w:sz w:val="4"/>
                <w:szCs w:val="4"/>
              </w:rPr>
            </w:pPr>
            <w:r>
              <w:rPr>
                <w:sz w:val="4"/>
                <w:szCs w:val="4"/>
              </w:rPr>
            </w:r>
          </w:p>
        </w:tc>
        <w:tc>
          <w:tcPr>
            <w:tcW w:w="950"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125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Ed Reisz</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836,443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675,000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1,971,025</w:t>
            </w:r>
          </w:p>
        </w:tc>
        <w:tc>
          <w:tcPr>
            <w:tcW w:w="75" w:type="dxa"/>
            <w:tcBorders/>
            <w:shd w:fill="CCEEFF" w:val="clear"/>
            <w:vAlign w:val="center"/>
          </w:tcPr>
          <w:p>
            <w:pPr>
              <w:pStyle w:val="TableContents"/>
              <w:bidi w:val="0"/>
              <w:spacing w:before="0" w:after="283"/>
              <w:jc w:val="left"/>
              <w:rPr/>
            </w:pPr>
            <w:r>
              <w:rPr/>
              <w:t> </w:t>
            </w:r>
          </w:p>
        </w:tc>
      </w:tr>
      <w:tr>
        <w:trPr/>
        <w:tc>
          <w:tcPr>
            <w:tcW w:w="1255" w:type="dxa"/>
            <w:tcBorders/>
            <w:shd w:fill="CCEEFF" w:val="clear"/>
            <w:vAlign w:val="center"/>
          </w:tcPr>
          <w:p>
            <w:pPr>
              <w:pStyle w:val="TableContents"/>
              <w:bidi w:val="0"/>
              <w:spacing w:before="0" w:after="283"/>
              <w:jc w:val="left"/>
              <w:rPr>
                <w:sz w:val="4"/>
                <w:szCs w:val="4"/>
              </w:rPr>
            </w:pPr>
            <w:r>
              <w:rPr>
                <w:sz w:val="4"/>
                <w:szCs w:val="4"/>
              </w:rPr>
            </w:r>
          </w:p>
        </w:tc>
        <w:tc>
          <w:tcPr>
            <w:tcW w:w="680" w:type="dxa"/>
            <w:gridSpan w:val="4"/>
            <w:tcBorders/>
            <w:shd w:fill="CCEEFF" w:val="clear"/>
            <w:vAlign w:val="center"/>
          </w:tcPr>
          <w:p>
            <w:pPr>
              <w:pStyle w:val="TableContents"/>
              <w:bidi w:val="0"/>
              <w:spacing w:before="0" w:after="283"/>
              <w:jc w:val="left"/>
              <w:rPr>
                <w:sz w:val="4"/>
                <w:szCs w:val="4"/>
              </w:rPr>
            </w:pPr>
            <w:r>
              <w:rPr>
                <w:sz w:val="4"/>
                <w:szCs w:val="4"/>
              </w:rPr>
            </w:r>
          </w:p>
        </w:tc>
        <w:tc>
          <w:tcPr>
            <w:tcW w:w="980" w:type="dxa"/>
            <w:gridSpan w:val="4"/>
            <w:tcBorders/>
            <w:shd w:fill="CCEEFF" w:val="clear"/>
            <w:vAlign w:val="center"/>
          </w:tcPr>
          <w:p>
            <w:pPr>
              <w:pStyle w:val="TableContents"/>
              <w:bidi w:val="0"/>
              <w:spacing w:before="0" w:after="283"/>
              <w:jc w:val="left"/>
              <w:rPr>
                <w:sz w:val="4"/>
                <w:szCs w:val="4"/>
              </w:rPr>
            </w:pPr>
            <w:r>
              <w:rPr>
                <w:sz w:val="4"/>
                <w:szCs w:val="4"/>
              </w:rPr>
            </w:r>
          </w:p>
        </w:tc>
        <w:tc>
          <w:tcPr>
            <w:tcW w:w="785" w:type="dxa"/>
            <w:gridSpan w:val="4"/>
            <w:tcBorders/>
            <w:shd w:fill="CCEEFF" w:val="clear"/>
            <w:vAlign w:val="center"/>
          </w:tcPr>
          <w:p>
            <w:pPr>
              <w:pStyle w:val="TableContents"/>
              <w:bidi w:val="0"/>
              <w:spacing w:before="0" w:after="283"/>
              <w:jc w:val="left"/>
              <w:rPr>
                <w:sz w:val="4"/>
                <w:szCs w:val="4"/>
              </w:rPr>
            </w:pPr>
            <w:r>
              <w:rPr>
                <w:sz w:val="4"/>
                <w:szCs w:val="4"/>
              </w:rPr>
            </w:r>
          </w:p>
        </w:tc>
        <w:tc>
          <w:tcPr>
            <w:tcW w:w="1160" w:type="dxa"/>
            <w:gridSpan w:val="4"/>
            <w:tcBorders/>
            <w:shd w:fill="CCEEFF" w:val="clear"/>
            <w:vAlign w:val="center"/>
          </w:tcPr>
          <w:p>
            <w:pPr>
              <w:pStyle w:val="TableContents"/>
              <w:bidi w:val="0"/>
              <w:spacing w:before="0" w:after="283"/>
              <w:jc w:val="left"/>
              <w:rPr>
                <w:sz w:val="4"/>
                <w:szCs w:val="4"/>
              </w:rPr>
            </w:pPr>
            <w:r>
              <w:rPr>
                <w:sz w:val="4"/>
                <w:szCs w:val="4"/>
              </w:rPr>
            </w:r>
          </w:p>
        </w:tc>
        <w:tc>
          <w:tcPr>
            <w:tcW w:w="950"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1255" w:type="dxa"/>
            <w:tcBorders/>
            <w:shd w:fill="CCEEFF" w:val="clear"/>
            <w:vAlign w:val="center"/>
          </w:tcPr>
          <w:p>
            <w:pPr>
              <w:pStyle w:val="TableContents"/>
              <w:bidi w:val="0"/>
              <w:spacing w:before="0" w:after="0"/>
              <w:jc w:val="left"/>
              <w:rPr>
                <w:rFonts w:ascii="Times New Roman" w:hAnsi="Times New Roman"/>
                <w:i/>
                <w:sz w:val="18"/>
              </w:rPr>
            </w:pPr>
            <w:r>
              <w:rPr>
                <w:rFonts w:ascii="Times New Roman" w:hAnsi="Times New Roman"/>
                <w:i/>
                <w:sz w:val="18"/>
              </w:rPr>
              <w:t>Chief Administrative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578,475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1,637,947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Represents (i) aggregate grant date fair values of RSU and PSU awards granted during fiscal year 2025 pursuant to our 2021 Plan; and (ii) aggregate grant date fair values of RSU and PSU awards granted during fiscal year 2024 pursuant to our 2021 Plan. The grant date fair value of our RSUs and PSUs is accounted for in accordance with ASC Topic 718 and as further discussed in Note 12 “Share-Based Compensation” to our audited consolidated financial statements included in our Annual Report on Form 10-K for the fiscal year ended January 3, 2026 filed with the SEC on March 19, 2026 (the “audited consolidated financial statements”). The amounts for the PSUs included in the stock awards column reflect the grant date fair value computed in accordance with FASB ASC Topic 718 based upon the probable outcome of the performance conditions as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Represents cash value of non-equity incentive awards earned under our annual incentive plan. For fiscal year 2025, the payments were made on March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Represents (i) costs attributable to life insurance premiums paid by the Company on behalf of the Named Executive Officers and for which Company is not the beneficiary of the related insurance policies; and/or (ii) employer matching contributions to a non-qualified deferred compensation plan,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Stock awards for fiscal year 2025 include the incremental ASC Topic 718 fair value of certain awards granted in prior fiscal years that were modified during fiscal year 2025. The incremental fair value of these awards was $291,090, $32,402, and $107,148 for Messrs. Shaner, Buckhalter, and Reisz,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information concerning outstanding awards held by the Named Executive Officers as of January 3, 2026. </w:t>
      </w:r>
    </w:p>
    <w:p>
      <w:pPr>
        <w:pStyle w:val="TextBody"/>
        <w:bidi w:val="0"/>
        <w:spacing w:before="0" w:after="0"/>
        <w:jc w:val="left"/>
        <w:rPr/>
      </w:pPr>
      <w:r>
        <w:rPr/>
        <w:t> </w:t>
      </w:r>
    </w:p>
    <w:tbl>
      <w:tblPr>
        <w:tblW w:w="13300" w:type="dxa"/>
        <w:jc w:val="left"/>
        <w:tblInd w:w="0" w:type="dxa"/>
        <w:tblLayout w:type="fixed"/>
        <w:tblCellMar>
          <w:top w:w="0" w:type="dxa"/>
          <w:left w:w="0" w:type="dxa"/>
          <w:bottom w:w="0" w:type="dxa"/>
          <w:right w:w="0" w:type="dxa"/>
        </w:tblCellMar>
      </w:tblPr>
      <w:tblGrid>
        <w:gridCol w:w="830"/>
        <w:gridCol w:w="60"/>
        <w:gridCol w:w="635"/>
        <w:gridCol w:w="60"/>
        <w:gridCol w:w="72"/>
        <w:gridCol w:w="1193"/>
        <w:gridCol w:w="60"/>
        <w:gridCol w:w="60"/>
        <w:gridCol w:w="82"/>
        <w:gridCol w:w="1363"/>
        <w:gridCol w:w="60"/>
        <w:gridCol w:w="60"/>
        <w:gridCol w:w="84"/>
        <w:gridCol w:w="791"/>
        <w:gridCol w:w="60"/>
        <w:gridCol w:w="60"/>
        <w:gridCol w:w="1115"/>
        <w:gridCol w:w="60"/>
        <w:gridCol w:w="120"/>
        <w:gridCol w:w="60"/>
        <w:gridCol w:w="635"/>
        <w:gridCol w:w="60"/>
        <w:gridCol w:w="97"/>
        <w:gridCol w:w="1303"/>
        <w:gridCol w:w="60"/>
        <w:gridCol w:w="60"/>
        <w:gridCol w:w="83"/>
        <w:gridCol w:w="1362"/>
        <w:gridCol w:w="60"/>
        <w:gridCol w:w="60"/>
        <w:gridCol w:w="97"/>
        <w:gridCol w:w="1303"/>
        <w:gridCol w:w="60"/>
        <w:gridCol w:w="60"/>
        <w:gridCol w:w="60"/>
        <w:gridCol w:w="980"/>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5" w:type="dxa"/>
            <w:gridSpan w:val="15"/>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0" w:type="dxa"/>
            <w:gridSpan w:val="1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gridSpan w:val="2"/>
            <w:tcBorders>
              <w:bottom w:val="single" w:sz="6"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6"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30" w:type="dxa"/>
            <w:tcBorders>
              <w:bottom w:val="single" w:sz="6" w:space="0" w:color="000000"/>
            </w:tcBorders>
            <w:tcMar>
              <w:bottom w:w="28" w:type="dxa"/>
            </w:tcMar>
            <w:vAlign w:val="center"/>
          </w:tcPr>
          <w:p>
            <w:pPr>
              <w:pStyle w:val="TableContents"/>
              <w:bidi w:val="0"/>
              <w:spacing w:before="0" w:after="283"/>
              <w:jc w:val="left"/>
              <w:rPr>
                <w:b/>
              </w:rPr>
            </w:pPr>
            <w:r>
              <w:rPr>
                <w:b/>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gridSpan w:val="2"/>
            <w:tcBorders>
              <w:bottom w:val="single" w:sz="6" w:space="0" w:color="000000"/>
            </w:tcBorders>
            <w:tcMar>
              <w:bottom w:w="28" w:type="dxa"/>
            </w:tcMar>
            <w:vAlign w:val="center"/>
          </w:tcPr>
          <w:p>
            <w:pPr>
              <w:pStyle w:val="TableContents"/>
              <w:bidi w:val="0"/>
              <w:spacing w:before="0" w:after="283"/>
              <w:jc w:val="center"/>
              <w:rPr>
                <w:b/>
              </w:rPr>
            </w:pPr>
            <w:r>
              <w:rPr>
                <w:b/>
              </w:rPr>
              <w:t>Exercisable</w:t>
              <w:b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6" w:space="0" w:color="000000"/>
            </w:tcBorders>
            <w:tcMar>
              <w:bottom w:w="28" w:type="dxa"/>
            </w:tcMar>
            <w:vAlign w:val="center"/>
          </w:tcPr>
          <w:p>
            <w:pPr>
              <w:pStyle w:val="TableContents"/>
              <w:bidi w:val="0"/>
              <w:spacing w:before="0" w:after="283"/>
              <w:jc w:val="center"/>
              <w:rPr>
                <w:b/>
              </w:rPr>
            </w:pPr>
            <w:r>
              <w:rPr>
                <w:b/>
              </w:rPr>
              <w:t>Unexercisable</w:t>
              <w:br/>
              <w:t>(1)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6"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b/>
              </w:rPr>
            </w:pPr>
            <w:r>
              <w:rPr>
                <w:b/>
              </w:rPr>
              <w:t>Option</w:t>
              <w:br/>
              <w:t>Expiration</w:t>
              <w:br/>
              <w:t>Date (2)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Number of</w:t>
              <w:br/>
              <w:t>Shares or</w:t>
              <w:br/>
              <w:t>Units That</w:t>
              <w:br/>
              <w:t>Have Not Yet</w:t>
              <w:br/>
              <w:t>Vested (#) (3)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gridSpan w:val="2"/>
            <w:tcBorders>
              <w:bottom w:val="single" w:sz="6" w:space="0" w:color="000000"/>
            </w:tcBorders>
            <w:tcMar>
              <w:bottom w:w="28" w:type="dxa"/>
            </w:tcMar>
            <w:vAlign w:val="center"/>
          </w:tcPr>
          <w:p>
            <w:pPr>
              <w:pStyle w:val="TableContents"/>
              <w:bidi w:val="0"/>
              <w:spacing w:before="0" w:after="283"/>
              <w:jc w:val="center"/>
              <w:rPr>
                <w:b/>
              </w:rPr>
            </w:pPr>
            <w:r>
              <w:rPr>
                <w:b/>
              </w:rPr>
              <w:t>Market Value</w:t>
              <w:br/>
              <w:t>of Shares or</w:t>
              <w:br/>
              <w:t>Units That</w:t>
              <w:br/>
              <w:t>Have Not Yet</w:t>
              <w:br/>
              <w:t>Vested ($) (4)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Number of</w:t>
              <w:br/>
              <w:t>Unearned</w:t>
              <w:br/>
              <w:t>Shares or</w:t>
              <w:br/>
              <w:t>Units That</w:t>
              <w:br/>
              <w:t>Have Not Yet</w:t>
              <w:br/>
              <w:t>Vested (#) (5)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Market</w:t>
              <w:br/>
              <w:t>Value of</w:t>
              <w:br/>
              <w:t>Unearned</w:t>
              <w:br/>
              <w:t>Shares or</w:t>
              <w:br/>
              <w:t>Units That</w:t>
            </w:r>
          </w:p>
          <w:p>
            <w:pPr>
              <w:pStyle w:val="TableContents"/>
              <w:bidi w:val="0"/>
              <w:spacing w:before="0" w:after="20"/>
              <w:jc w:val="center"/>
              <w:rPr>
                <w:rFonts w:ascii="Times New Roman" w:hAnsi="Times New Roman"/>
                <w:b/>
                <w:sz w:val="16"/>
              </w:rPr>
            </w:pPr>
            <w:r>
              <w:rPr>
                <w:rFonts w:ascii="Times New Roman" w:hAnsi="Times New Roman"/>
                <w:b/>
                <w:sz w:val="16"/>
              </w:rPr>
              <w:t>Have Not Yet</w:t>
              <w:br/>
              <w:t>Vested ($) (4)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385"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995"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vAlign w:val="center"/>
          </w:tcPr>
          <w:p>
            <w:pPr>
              <w:pStyle w:val="TableContents"/>
              <w:bidi w:val="0"/>
              <w:spacing w:before="0" w:after="283"/>
              <w:jc w:val="left"/>
              <w:rPr>
                <w:sz w:val="4"/>
                <w:szCs w:val="4"/>
              </w:rPr>
            </w:pPr>
            <w:r>
              <w:rPr>
                <w:sz w:val="4"/>
                <w:szCs w:val="4"/>
              </w:rPr>
            </w:r>
          </w:p>
        </w:tc>
        <w:tc>
          <w:tcPr>
            <w:tcW w:w="180" w:type="dxa"/>
            <w:gridSpan w:val="2"/>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Jeffrey Shaner</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12/1/2017</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1,206,778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1,206,778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11/30/2027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2/14/2025(6)</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136,663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1,104,237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385"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995"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vAlign w:val="center"/>
          </w:tcPr>
          <w:p>
            <w:pPr>
              <w:pStyle w:val="TableContents"/>
              <w:bidi w:val="0"/>
              <w:spacing w:before="0" w:after="283"/>
              <w:jc w:val="left"/>
              <w:rPr>
                <w:sz w:val="4"/>
                <w:szCs w:val="4"/>
              </w:rPr>
            </w:pPr>
            <w:r>
              <w:rPr>
                <w:sz w:val="4"/>
                <w:szCs w:val="4"/>
              </w:rPr>
            </w:r>
          </w:p>
        </w:tc>
        <w:tc>
          <w:tcPr>
            <w:tcW w:w="180" w:type="dxa"/>
            <w:gridSpan w:val="2"/>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12/1/2017</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709,870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11/30/2027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2/14/2023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842,188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6,804,879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385"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995"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vAlign w:val="center"/>
          </w:tcPr>
          <w:p>
            <w:pPr>
              <w:pStyle w:val="TableContents"/>
              <w:bidi w:val="0"/>
              <w:spacing w:before="0" w:after="283"/>
              <w:jc w:val="left"/>
              <w:rPr>
                <w:sz w:val="4"/>
                <w:szCs w:val="4"/>
              </w:rPr>
            </w:pPr>
            <w:r>
              <w:rPr>
                <w:sz w:val="4"/>
                <w:szCs w:val="4"/>
              </w:rPr>
            </w:r>
          </w:p>
        </w:tc>
        <w:tc>
          <w:tcPr>
            <w:tcW w:w="180" w:type="dxa"/>
            <w:gridSpan w:val="2"/>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3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2/14/2024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863,762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6,979,197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172,545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1,394,163</w:t>
            </w:r>
          </w:p>
        </w:tc>
        <w:tc>
          <w:tcPr>
            <w:tcW w:w="75" w:type="dxa"/>
            <w:tcBorders/>
            <w:shd w:fill="CCEEFF" w:val="clear"/>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385"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995"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vAlign w:val="center"/>
          </w:tcPr>
          <w:p>
            <w:pPr>
              <w:pStyle w:val="TableContents"/>
              <w:bidi w:val="0"/>
              <w:spacing w:before="0" w:after="283"/>
              <w:jc w:val="left"/>
              <w:rPr>
                <w:sz w:val="4"/>
                <w:szCs w:val="4"/>
              </w:rPr>
            </w:pPr>
            <w:r>
              <w:rPr>
                <w:sz w:val="4"/>
                <w:szCs w:val="4"/>
              </w:rPr>
            </w:r>
          </w:p>
        </w:tc>
        <w:tc>
          <w:tcPr>
            <w:tcW w:w="180" w:type="dxa"/>
            <w:gridSpan w:val="2"/>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3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2/14/2025</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361,948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2,924,540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180,987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1,462,375</w:t>
            </w:r>
          </w:p>
        </w:tc>
        <w:tc>
          <w:tcPr>
            <w:tcW w:w="75" w:type="dxa"/>
            <w:tcBorders/>
            <w:shd w:fill="CCEEFF" w:val="cle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Matthew Buckhalter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12/1/2017</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21,297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21,297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11/30/2027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2/14/2025(6)</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15,213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122,921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11/24/2020</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30,750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63" w:type="dxa"/>
            <w:tcBorders/>
            <w:vAlign w:val="center"/>
          </w:tcPr>
          <w:p>
            <w:pPr>
              <w:pStyle w:val="TableContents"/>
              <w:bidi w:val="0"/>
              <w:spacing w:before="0" w:after="283"/>
              <w:jc w:val="right"/>
              <w:rPr/>
            </w:pPr>
            <w:r>
              <w:rPr/>
              <w:t>30,750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11/23/2030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2/14/2023</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93,750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757,500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2/14/2024</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249,878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2,019,011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49,915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403,316</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2/14/2025</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104,708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846,041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52,357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423,045</w:t>
            </w:r>
          </w:p>
        </w:tc>
        <w:tc>
          <w:tcPr>
            <w:tcW w:w="75" w:type="dxa"/>
            <w:tcBorders/>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385"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995"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vAlign w:val="center"/>
          </w:tcPr>
          <w:p>
            <w:pPr>
              <w:pStyle w:val="TableContents"/>
              <w:bidi w:val="0"/>
              <w:spacing w:before="0" w:after="283"/>
              <w:jc w:val="left"/>
              <w:rPr>
                <w:sz w:val="4"/>
                <w:szCs w:val="4"/>
              </w:rPr>
            </w:pPr>
            <w:r>
              <w:rPr>
                <w:sz w:val="4"/>
                <w:szCs w:val="4"/>
              </w:rPr>
            </w:r>
          </w:p>
        </w:tc>
        <w:tc>
          <w:tcPr>
            <w:tcW w:w="180" w:type="dxa"/>
            <w:gridSpan w:val="2"/>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Ed Reisz</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12/1/2017</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709,870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709,870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11/30/2027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2/14/2025(6)</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50,304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406,456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385"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995"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vAlign w:val="center"/>
          </w:tcPr>
          <w:p>
            <w:pPr>
              <w:pStyle w:val="TableContents"/>
              <w:bidi w:val="0"/>
              <w:spacing w:before="0" w:after="283"/>
              <w:jc w:val="left"/>
              <w:rPr>
                <w:sz w:val="4"/>
                <w:szCs w:val="4"/>
              </w:rPr>
            </w:pPr>
            <w:r>
              <w:rPr>
                <w:sz w:val="4"/>
                <w:szCs w:val="4"/>
              </w:rPr>
            </w:r>
          </w:p>
        </w:tc>
        <w:tc>
          <w:tcPr>
            <w:tcW w:w="180" w:type="dxa"/>
            <w:gridSpan w:val="2"/>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11/24/2020</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51,250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51,250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11/23/2030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2/14/2023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375,000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3,030,000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385"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995"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vAlign w:val="center"/>
          </w:tcPr>
          <w:p>
            <w:pPr>
              <w:pStyle w:val="TableContents"/>
              <w:bidi w:val="0"/>
              <w:spacing w:before="0" w:after="283"/>
              <w:jc w:val="left"/>
              <w:rPr>
                <w:sz w:val="4"/>
                <w:szCs w:val="4"/>
              </w:rPr>
            </w:pPr>
            <w:r>
              <w:rPr>
                <w:sz w:val="4"/>
                <w:szCs w:val="4"/>
              </w:rPr>
            </w:r>
          </w:p>
        </w:tc>
        <w:tc>
          <w:tcPr>
            <w:tcW w:w="180" w:type="dxa"/>
            <w:gridSpan w:val="2"/>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3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2/14/2024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207,511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1,676,688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41,452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334,934</w:t>
            </w:r>
          </w:p>
        </w:tc>
        <w:tc>
          <w:tcPr>
            <w:tcW w:w="75" w:type="dxa"/>
            <w:tcBorders/>
            <w:shd w:fill="CCEEFF" w:val="clear"/>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385"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995"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vAlign w:val="center"/>
          </w:tcPr>
          <w:p>
            <w:pPr>
              <w:pStyle w:val="TableContents"/>
              <w:bidi w:val="0"/>
              <w:spacing w:before="0" w:after="283"/>
              <w:jc w:val="left"/>
              <w:rPr>
                <w:sz w:val="4"/>
                <w:szCs w:val="4"/>
              </w:rPr>
            </w:pPr>
            <w:r>
              <w:rPr>
                <w:sz w:val="4"/>
                <w:szCs w:val="4"/>
              </w:rPr>
            </w:r>
          </w:p>
        </w:tc>
        <w:tc>
          <w:tcPr>
            <w:tcW w:w="180" w:type="dxa"/>
            <w:gridSpan w:val="2"/>
            <w:tcBorders/>
            <w:shd w:fill="CCEEFF" w:val="cle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565" w:type="dxa"/>
            <w:gridSpan w:val="4"/>
            <w:tcBorders/>
            <w:shd w:fill="CCEEFF" w:val="clear"/>
            <w:vAlign w:val="center"/>
          </w:tcPr>
          <w:p>
            <w:pPr>
              <w:pStyle w:val="TableContents"/>
              <w:bidi w:val="0"/>
              <w:spacing w:before="0" w:after="283"/>
              <w:jc w:val="left"/>
              <w:rPr>
                <w:sz w:val="4"/>
                <w:szCs w:val="4"/>
              </w:rPr>
            </w:pPr>
            <w:r>
              <w:rPr>
                <w:sz w:val="4"/>
                <w:szCs w:val="4"/>
              </w:rPr>
            </w:r>
          </w:p>
        </w:tc>
        <w:tc>
          <w:tcPr>
            <w:tcW w:w="1520" w:type="dxa"/>
            <w:gridSpan w:val="4"/>
            <w:tcBorders/>
            <w:shd w:fill="CCEEFF" w:val="clear"/>
            <w:vAlign w:val="center"/>
          </w:tcPr>
          <w:p>
            <w:pPr>
              <w:pStyle w:val="TableContents"/>
              <w:bidi w:val="0"/>
              <w:spacing w:before="0" w:after="283"/>
              <w:jc w:val="left"/>
              <w:rPr>
                <w:sz w:val="4"/>
                <w:szCs w:val="4"/>
              </w:rPr>
            </w:pPr>
            <w:r>
              <w:rPr>
                <w:sz w:val="4"/>
                <w:szCs w:val="4"/>
              </w:rPr>
            </w:r>
          </w:p>
        </w:tc>
        <w:tc>
          <w:tcPr>
            <w:tcW w:w="117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1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3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2/14/2025</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114,102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921,944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57,094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461,320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Stock options granted under the 2017 plan were subject to time- and performance-based vesting. The stock options subject to time-based vesting vested ratably over five years and are fully vested. Mr. Shaner, Mr. Buckhalter, and Mr. Reisz held 1,916,648, 52,047, and 761,120, respectively, of such options on January 3, 2026. Completion of the Company’s IPO in April 2021 resulted in the Company’s performance-vesting options becoming eligible to potentially vest, and such vesting is based upon the achievement of certain Aveanna share prices. Mr. Shaner, Mr. Buckhalter, and Mr. Reisz held 1,206,778, 52,047, and 761,120, respectively, of such options on January 3, 2026.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290"/>
        <w:gridCol w:w="57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5750"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The contractual term of all stock option awards under the 2021 Plan is ten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(3)</w:t>
            </w:r>
          </w:p>
        </w:tc>
        <w:tc>
          <w:tcPr>
            <w:tcW w:w="9868"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Represents RSU awards granted during fiscal years 2023, 2024, and 2025 pursuant to our 2021 Plan, net of forfeitures. The RSUs granted in fiscal years 2023, 2024 and 2025 are subject to three-year cliff vesting.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290"/>
        <w:gridCol w:w="74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7475"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Market value is based upon Aveanna’s closing stock price on the last day of trading for fiscal year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(5)</w:t>
            </w:r>
          </w:p>
        </w:tc>
        <w:tc>
          <w:tcPr>
            <w:tcW w:w="9877"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Represents PSU awards granted during fiscal years 2023, 2024, and 2025 pursuant to our 2021 Plan, net of forfeitures, that have not yet met the performance criteria. The PSUs granted in fiscal years 2023, 2024 and 2025 are subject to three-year cliff vesting.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(6)</w:t>
            </w:r>
          </w:p>
        </w:tc>
        <w:tc>
          <w:tcPr>
            <w:tcW w:w="9865"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Represents performance awards originally issued on February 14, 2022, that were subsequently modified on February 14, 2025. The modified performance conditions have been subsequently achieved.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pStyle w:val="TextBody"/>
        <w:bidi w:val="0"/>
        <w:spacing w:before="0" w:after="0"/>
        <w:jc w:val="left"/>
        <w:rPr/>
      </w:pPr>
      <w:r>
        <w:rPr/>
        <w:t> </w:t>
      </w:r>
    </w:p>
    <w:tbl>
      <w:tblPr>
        <w:tblW w:w="13210" w:type="dxa"/>
        <w:jc w:val="left"/>
        <w:tblInd w:w="0" w:type="dxa"/>
        <w:tblLayout w:type="fixed"/>
        <w:tblCellMar>
          <w:top w:w="0" w:type="dxa"/>
          <w:left w:w="0" w:type="dxa"/>
          <w:bottom w:w="0" w:type="dxa"/>
          <w:right w:w="0" w:type="dxa"/>
        </w:tblCellMar>
      </w:tblPr>
      <w:tblGrid>
        <w:gridCol w:w="545"/>
        <w:gridCol w:w="60"/>
        <w:gridCol w:w="90"/>
        <w:gridCol w:w="1475"/>
        <w:gridCol w:w="60"/>
        <w:gridCol w:w="60"/>
        <w:gridCol w:w="77"/>
        <w:gridCol w:w="1413"/>
        <w:gridCol w:w="60"/>
        <w:gridCol w:w="60"/>
        <w:gridCol w:w="123"/>
        <w:gridCol w:w="2012"/>
        <w:gridCol w:w="60"/>
        <w:gridCol w:w="60"/>
        <w:gridCol w:w="85"/>
        <w:gridCol w:w="1405"/>
        <w:gridCol w:w="60"/>
        <w:gridCol w:w="60"/>
        <w:gridCol w:w="176"/>
        <w:gridCol w:w="2529"/>
        <w:gridCol w:w="60"/>
        <w:gridCol w:w="60"/>
        <w:gridCol w:w="157"/>
        <w:gridCol w:w="2293"/>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left"/>
              <w:rPr>
                <w:b/>
                <w:spacing w:val="0"/>
              </w:rPr>
            </w:pPr>
            <w:r>
              <w:rPr>
                <w:b/>
                <w:spacing w:val="0"/>
              </w:rPr>
              <w:t>Year</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 for</w:t>
              <w:br/>
              <w:t>PEO ($)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PEO ($)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 Summary</w:t>
              <w:br/>
              <w:t>Compensation Table</w:t>
              <w:br/>
              <w:t xml:space="preserve">Total 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 ($)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 Fixed $100</w:t>
              <w:br/>
              <w:t>Investment Based On:</w:t>
              <w:br/>
              <w:t>Value of Initial Fixed $100</w:t>
              <w:br/>
              <w:t>Investment Based on</w:t>
              <w:br/>
              <w:t>Total Shareholder</w:t>
              <w:br/>
              <w:t>Return ($)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Income (Loss) ($) (5)</w:t>
            </w:r>
          </w:p>
        </w:tc>
        <w:tc>
          <w:tcPr>
            <w:tcW w:w="170"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1685"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2255"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2825" w:type="dxa"/>
            <w:gridSpan w:val="4"/>
            <w:tcBorders/>
            <w:shd w:fill="CCEEFF" w:val="clear"/>
            <w:vAlign w:val="center"/>
          </w:tcPr>
          <w:p>
            <w:pPr>
              <w:pStyle w:val="TableContents"/>
              <w:bidi w:val="0"/>
              <w:spacing w:before="0" w:after="283"/>
              <w:jc w:val="left"/>
              <w:rPr>
                <w:sz w:val="4"/>
                <w:szCs w:val="4"/>
              </w:rPr>
            </w:pPr>
            <w:r>
              <w:rPr>
                <w:sz w:val="4"/>
                <w:szCs w:val="4"/>
              </w:rPr>
            </w:r>
          </w:p>
        </w:tc>
        <w:tc>
          <w:tcPr>
            <w:tcW w:w="2680"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54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2025</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4,864,165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0"/>
              <w:jc w:val="right"/>
              <w:rPr/>
            </w:pPr>
            <w:r>
              <w:rPr/>
              <w:t>17,890,215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1,950,670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5,764,900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2529" w:type="dxa"/>
            <w:tcBorders/>
            <w:shd w:fill="CCEEFF" w:val="clear"/>
            <w:vAlign w:val="center"/>
          </w:tcPr>
          <w:p>
            <w:pPr>
              <w:pStyle w:val="TableContents"/>
              <w:bidi w:val="0"/>
              <w:spacing w:before="0" w:after="283"/>
              <w:jc w:val="right"/>
              <w:rPr/>
            </w:pPr>
            <w:r>
              <w:rPr/>
              <w:t>1,035.90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293" w:type="dxa"/>
            <w:tcBorders/>
            <w:shd w:fill="CCEEFF" w:val="clear"/>
            <w:vAlign w:val="center"/>
          </w:tcPr>
          <w:p>
            <w:pPr>
              <w:pStyle w:val="TableContents"/>
              <w:bidi w:val="0"/>
              <w:spacing w:before="0" w:after="283"/>
              <w:jc w:val="right"/>
              <w:rPr/>
            </w:pPr>
            <w:r>
              <w:rPr/>
              <w:t>225,034</w:t>
            </w:r>
          </w:p>
        </w:tc>
        <w:tc>
          <w:tcPr>
            <w:tcW w:w="170"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2825" w:type="dxa"/>
            <w:gridSpan w:val="4"/>
            <w:tcBorders/>
            <w:vAlign w:val="center"/>
          </w:tcPr>
          <w:p>
            <w:pPr>
              <w:pStyle w:val="TableContents"/>
              <w:bidi w:val="0"/>
              <w:spacing w:before="0" w:after="283"/>
              <w:jc w:val="left"/>
              <w:rPr>
                <w:sz w:val="4"/>
                <w:szCs w:val="4"/>
              </w:rPr>
            </w:pPr>
            <w:r>
              <w:rPr>
                <w:sz w:val="4"/>
                <w:szCs w:val="4"/>
              </w:rPr>
            </w:r>
          </w:p>
        </w:tc>
        <w:tc>
          <w:tcPr>
            <w:tcW w:w="2680"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2024</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4,543,047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10,560,584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2,052,544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2,940,888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529" w:type="dxa"/>
            <w:tcBorders/>
            <w:vAlign w:val="center"/>
          </w:tcPr>
          <w:p>
            <w:pPr>
              <w:pStyle w:val="TableContents"/>
              <w:bidi w:val="0"/>
              <w:spacing w:before="0" w:after="283"/>
              <w:jc w:val="right"/>
              <w:rPr/>
            </w:pPr>
            <w:r>
              <w:rPr/>
              <w:t>597.44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93" w:type="dxa"/>
            <w:tcBorders/>
            <w:vAlign w:val="center"/>
          </w:tcPr>
          <w:p>
            <w:pPr>
              <w:pStyle w:val="TableContents"/>
              <w:bidi w:val="0"/>
              <w:spacing w:before="0" w:after="283"/>
              <w:jc w:val="right"/>
              <w:rPr/>
            </w:pPr>
            <w:r>
              <w:rPr/>
              <w:t>(10,929</w:t>
            </w:r>
          </w:p>
        </w:tc>
        <w:tc>
          <w:tcPr>
            <w:tcW w:w="170"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1685"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2255" w:type="dxa"/>
            <w:gridSpan w:val="4"/>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2825" w:type="dxa"/>
            <w:gridSpan w:val="4"/>
            <w:tcBorders/>
            <w:shd w:fill="CCEEFF" w:val="clear"/>
            <w:vAlign w:val="center"/>
          </w:tcPr>
          <w:p>
            <w:pPr>
              <w:pStyle w:val="TableContents"/>
              <w:bidi w:val="0"/>
              <w:spacing w:before="0" w:after="283"/>
              <w:jc w:val="left"/>
              <w:rPr>
                <w:sz w:val="4"/>
                <w:szCs w:val="4"/>
              </w:rPr>
            </w:pPr>
            <w:r>
              <w:rPr>
                <w:sz w:val="4"/>
                <w:szCs w:val="4"/>
              </w:rPr>
            </w:r>
          </w:p>
        </w:tc>
        <w:tc>
          <w:tcPr>
            <w:tcW w:w="2680"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54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2023</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2,912,579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5,688,936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1,867,763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3,961,605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2529" w:type="dxa"/>
            <w:tcBorders/>
            <w:shd w:fill="CCEEFF" w:val="clear"/>
            <w:vAlign w:val="center"/>
          </w:tcPr>
          <w:p>
            <w:pPr>
              <w:pStyle w:val="TableContents"/>
              <w:bidi w:val="0"/>
              <w:spacing w:before="0" w:after="283"/>
              <w:jc w:val="right"/>
              <w:rPr/>
            </w:pPr>
            <w:r>
              <w:rPr/>
              <w:t>343.59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293" w:type="dxa"/>
            <w:tcBorders/>
            <w:shd w:fill="CCEEFF" w:val="clear"/>
            <w:vAlign w:val="center"/>
          </w:tcPr>
          <w:p>
            <w:pPr>
              <w:pStyle w:val="TableContents"/>
              <w:bidi w:val="0"/>
              <w:spacing w:before="0" w:after="283"/>
              <w:jc w:val="right"/>
              <w:rPr/>
            </w:pPr>
            <w:r>
              <w:rPr/>
              <w:t>(134,524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290"/>
        <w:gridCol w:w="57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5780"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Mr. Shaner served as Principal Executive Officer (“PEO”) for all years reported.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SEC Rules require certain adjustments be made to the totals set forth in the Summary Compensation Table of this proxy statement and in the definitive proxy statement on Schedule 14A filed with the SEC on March 25, 2025 and in the definitive proxy statement on Schedule 14A filed with the SEC on April 1, 2024 to determine “compensation actually paid” as reported in the Pay Versus Performance Table above. “Compensation actually paid” does not represent cash and/or equity value transferred to the applicable NEO without restriction, but rather is a value calculated under applicable SEC rules. Generally, “compensation actually paid” is calculated as Summary Compensation Table total compensation adjusted to include the fair market value of equity awards as of the applicable fiscal year end, or if earlier, the vesting date (rather than the grant date). NEOs do not participate in a defined benefit plan, so no adjustment for pension benefits is included in the table below. The following table details these adjustments: </w:t>
            </w:r>
          </w:p>
        </w:tc>
      </w:tr>
    </w:tbl>
    <w:p>
      <w:pPr>
        <w:pStyle w:val="TextBody"/>
        <w:bidi w:val="0"/>
        <w:spacing w:before="0" w:after="0"/>
        <w:jc w:val="left"/>
        <w:rPr/>
      </w:pPr>
      <w:r>
        <w:rPr/>
        <w:t> </w:t>
      </w:r>
    </w:p>
    <w:tbl>
      <w:tblPr>
        <w:tblW w:w="13185" w:type="dxa"/>
        <w:jc w:val="left"/>
        <w:tblInd w:w="0" w:type="dxa"/>
        <w:tblLayout w:type="fixed"/>
        <w:tblCellMar>
          <w:top w:w="0" w:type="dxa"/>
          <w:left w:w="0" w:type="dxa"/>
          <w:bottom w:w="0" w:type="dxa"/>
          <w:right w:w="0" w:type="dxa"/>
        </w:tblCellMar>
      </w:tblPr>
      <w:tblGrid>
        <w:gridCol w:w="395"/>
        <w:gridCol w:w="60"/>
        <w:gridCol w:w="980"/>
        <w:gridCol w:w="60"/>
        <w:gridCol w:w="85"/>
        <w:gridCol w:w="1405"/>
        <w:gridCol w:w="60"/>
        <w:gridCol w:w="60"/>
        <w:gridCol w:w="60"/>
        <w:gridCol w:w="1055"/>
        <w:gridCol w:w="155"/>
        <w:gridCol w:w="60"/>
        <w:gridCol w:w="60"/>
        <w:gridCol w:w="980"/>
        <w:gridCol w:w="60"/>
        <w:gridCol w:w="60"/>
        <w:gridCol w:w="60"/>
        <w:gridCol w:w="1100"/>
        <w:gridCol w:w="60"/>
        <w:gridCol w:w="60"/>
        <w:gridCol w:w="411"/>
        <w:gridCol w:w="959"/>
        <w:gridCol w:w="60"/>
        <w:gridCol w:w="60"/>
        <w:gridCol w:w="109"/>
        <w:gridCol w:w="1456"/>
        <w:gridCol w:w="60"/>
        <w:gridCol w:w="60"/>
        <w:gridCol w:w="99"/>
        <w:gridCol w:w="1256"/>
        <w:gridCol w:w="155"/>
        <w:gridCol w:w="60"/>
        <w:gridCol w:w="77"/>
        <w:gridCol w:w="1413"/>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Executive(s)</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rPr>
            </w:pPr>
            <w:r>
              <w:rPr>
                <w:b/>
              </w:rPr>
              <w:t>Summary</w:t>
              <w:br/>
              <w:t>Compensation</w:t>
              <w:br/>
              <w:t>Table Total</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rPr>
            </w:pPr>
            <w:r>
              <w:rPr>
                <w:b/>
              </w:rPr>
              <w:t>Subtract</w:t>
              <w:br/>
              <w:t>Stock</w:t>
              <w:br/>
              <w:t>Awards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rPr>
            </w:pPr>
            <w:r>
              <w:rPr>
                <w:b/>
              </w:rPr>
              <w:t>Add</w:t>
            </w:r>
          </w:p>
          <w:p>
            <w:pPr>
              <w:pStyle w:val="TableContents"/>
              <w:bidi w:val="0"/>
              <w:spacing w:before="0" w:after="0"/>
              <w:jc w:val="center"/>
              <w:rPr>
                <w:b/>
              </w:rPr>
            </w:pPr>
            <w:r>
              <w:rPr>
                <w:b/>
              </w:rPr>
              <w:t>Year-end</w:t>
            </w:r>
          </w:p>
          <w:p>
            <w:pPr>
              <w:pStyle w:val="TableContents"/>
              <w:bidi w:val="0"/>
              <w:spacing w:before="0" w:after="0"/>
              <w:jc w:val="center"/>
              <w:rPr>
                <w:b/>
              </w:rPr>
            </w:pPr>
            <w:r>
              <w:rPr>
                <w:b/>
              </w:rPr>
              <w:br/>
              <w:t>Equity</w:t>
              <w:br/>
              <w:t>Value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rPr>
            </w:pPr>
            <w:r>
              <w:rPr>
                <w:b/>
              </w:rPr>
              <w:t>Change in</w:t>
              <w:br/>
              <w:t>Value of</w:t>
              <w:br/>
              <w:t>Prior</w:t>
              <w:br/>
              <w:t>Equity</w:t>
              <w:br/>
              <w:t>Awards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rPr>
            </w:pPr>
            <w:r>
              <w:rPr>
                <w:b/>
              </w:rPr>
              <w:t>Fair Value at</w:t>
              <w:br/>
              <w:t>Vesting Date</w:t>
              <w:br/>
              <w:t>of Awards</w:t>
              <w:br/>
              <w:t>Granted and</w:t>
              <w:br/>
              <w:t>Vested in</w:t>
              <w:br/>
              <w:t>Same Year</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0"/>
              <w:jc w:val="center"/>
              <w:rPr>
                <w:b/>
              </w:rPr>
            </w:pPr>
            <w:r>
              <w:rPr>
                <w:b/>
              </w:rPr>
              <w:t>Change in Fair</w:t>
              <w:br/>
              <w:t>Value of</w:t>
              <w:br/>
              <w:t>Awards</w:t>
              <w:br/>
              <w:t>Granted in</w:t>
              <w:br/>
              <w:t>PY that</w:t>
              <w:br/>
              <w:t>Vested in</w:t>
              <w:br/>
              <w:t>CY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rPr>
            </w:pPr>
            <w:r>
              <w:rPr>
                <w:b/>
              </w:rPr>
              <w:t>Subtract</w:t>
              <w:br/>
              <w:t>Value of</w:t>
              <w:br/>
              <w:t>Equity</w:t>
              <w:br/>
              <w:t>Awards that</w:t>
              <w:br/>
              <w:t>Failed to</w:t>
              <w:br/>
              <w:t>Meet Vesting</w:t>
              <w:br/>
              <w:t>Conditions</w:t>
              <w:b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rPr>
            </w:pPr>
            <w:r>
              <w:rPr>
                <w:b/>
              </w:rPr>
              <w:t>Compensation</w:t>
              <w:br/>
              <w:t>Actually Paid</w:t>
              <w:br/>
              <w:t>($)</w:t>
            </w:r>
          </w:p>
        </w:tc>
        <w:tc>
          <w:tcPr>
            <w:tcW w:w="75" w:type="dxa"/>
            <w:tcBorders/>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2025</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PEO</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4,864,165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(2,603,993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4,939,029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10,013,659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677,354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17,890,215</w:t>
            </w:r>
          </w:p>
        </w:tc>
        <w:tc>
          <w:tcPr>
            <w:tcW w:w="75" w:type="dxa"/>
            <w:tcBorders/>
            <w:shd w:fill="CCEE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left"/>
              <w:rPr/>
            </w:pPr>
            <w:r>
              <w:rPr/>
              <w:t>Non-PEO</w:t>
            </w:r>
          </w:p>
          <w:p>
            <w:pPr>
              <w:pStyle w:val="TableContents"/>
              <w:bidi w:val="0"/>
              <w:spacing w:before="0" w:after="0"/>
              <w:jc w:val="left"/>
              <w:rPr/>
            </w:pPr>
            <w:r>
              <w:rPr/>
              <w:t>NEOs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1,950,670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(768,970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1,458,517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2,640,554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484,130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5,764,900</w:t>
            </w:r>
          </w:p>
        </w:tc>
        <w:tc>
          <w:tcPr>
            <w:tcW w:w="75" w:type="dxa"/>
            <w:tcBorders/>
            <w:shd w:fill="CCEEFF"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2024</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PEO</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4,543,047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(2,497,500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4,829,191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3,685,846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10,560,584</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left"/>
              <w:rPr/>
            </w:pPr>
            <w:r>
              <w:rPr/>
              <w:t>Non-PEO</w:t>
            </w:r>
          </w:p>
          <w:p>
            <w:pPr>
              <w:pStyle w:val="TableContents"/>
              <w:bidi w:val="0"/>
              <w:spacing w:before="0" w:after="0"/>
              <w:jc w:val="left"/>
              <w:rPr/>
            </w:pPr>
            <w:r>
              <w:rPr/>
              <w:t>NEOs</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2,052,544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(728,859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1,459,875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156,612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716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2,940,888</w:t>
            </w:r>
          </w:p>
        </w:tc>
        <w:tc>
          <w:tcPr>
            <w:tcW w:w="75" w:type="dxa"/>
            <w:tcBorders/>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vAlign w:val="center"/>
          </w:tcPr>
          <w:p>
            <w:pPr>
              <w:pStyle w:val="TableContents"/>
              <w:bidi w:val="0"/>
              <w:spacing w:before="0" w:after="283"/>
              <w:jc w:val="left"/>
              <w:rPr>
                <w:sz w:val="4"/>
                <w:szCs w:val="4"/>
              </w:rPr>
            </w:pPr>
            <w:r>
              <w:rPr>
                <w:sz w:val="4"/>
                <w:szCs w:val="4"/>
              </w:rPr>
            </w:r>
          </w:p>
        </w:tc>
        <w:tc>
          <w:tcPr>
            <w:tcW w:w="1610" w:type="dxa"/>
            <w:gridSpan w:val="4"/>
            <w:tcBorders/>
            <w:shd w:fill="CCEEFF" w:val="clear"/>
            <w:vAlign w:val="center"/>
          </w:tcPr>
          <w:p>
            <w:pPr>
              <w:pStyle w:val="TableContents"/>
              <w:bidi w:val="0"/>
              <w:spacing w:before="0" w:after="283"/>
              <w:jc w:val="left"/>
              <w:rPr>
                <w:sz w:val="4"/>
                <w:szCs w:val="4"/>
              </w:rPr>
            </w:pPr>
            <w:r>
              <w:rPr>
                <w:sz w:val="4"/>
                <w:szCs w:val="4"/>
              </w:rPr>
            </w:r>
          </w:p>
        </w:tc>
        <w:tc>
          <w:tcPr>
            <w:tcW w:w="1330" w:type="dxa"/>
            <w:gridSpan w:val="4"/>
            <w:tcBorders/>
            <w:shd w:fill="CCEEFF" w:val="clear"/>
            <w:vAlign w:val="center"/>
          </w:tcPr>
          <w:p>
            <w:pPr>
              <w:pStyle w:val="TableContents"/>
              <w:bidi w:val="0"/>
              <w:spacing w:before="0" w:after="283"/>
              <w:jc w:val="left"/>
              <w:rPr>
                <w:sz w:val="4"/>
                <w:szCs w:val="4"/>
              </w:rPr>
            </w:pPr>
            <w:r>
              <w:rPr>
                <w:sz w:val="4"/>
                <w:szCs w:val="4"/>
              </w:rPr>
            </w:r>
          </w:p>
        </w:tc>
        <w:tc>
          <w:tcPr>
            <w:tcW w:w="1160" w:type="dxa"/>
            <w:gridSpan w:val="4"/>
            <w:tcBorders/>
            <w:shd w:fill="CCEEFF" w:val="clear"/>
            <w:vAlign w:val="center"/>
          </w:tcPr>
          <w:p>
            <w:pPr>
              <w:pStyle w:val="TableContents"/>
              <w:bidi w:val="0"/>
              <w:spacing w:before="0" w:after="283"/>
              <w:jc w:val="left"/>
              <w:rPr>
                <w:sz w:val="4"/>
                <w:szCs w:val="4"/>
              </w:rPr>
            </w:pPr>
            <w:r>
              <w:rPr>
                <w:sz w:val="4"/>
                <w:szCs w:val="4"/>
              </w:rPr>
            </w:r>
          </w:p>
        </w:tc>
        <w:tc>
          <w:tcPr>
            <w:tcW w:w="1280" w:type="dxa"/>
            <w:gridSpan w:val="4"/>
            <w:tcBorders/>
            <w:shd w:fill="CCEEFF" w:val="clear"/>
            <w:vAlign w:val="center"/>
          </w:tcPr>
          <w:p>
            <w:pPr>
              <w:pStyle w:val="TableContents"/>
              <w:bidi w:val="0"/>
              <w:spacing w:before="0" w:after="283"/>
              <w:jc w:val="left"/>
              <w:rPr>
                <w:sz w:val="4"/>
                <w:szCs w:val="4"/>
              </w:rPr>
            </w:pPr>
            <w:r>
              <w:rPr>
                <w:sz w:val="4"/>
                <w:szCs w:val="4"/>
              </w:rPr>
            </w:r>
          </w:p>
        </w:tc>
        <w:tc>
          <w:tcPr>
            <w:tcW w:w="1490" w:type="dxa"/>
            <w:gridSpan w:val="4"/>
            <w:tcBorders/>
            <w:shd w:fill="CCEEFF" w:val="clear"/>
            <w:vAlign w:val="center"/>
          </w:tcPr>
          <w:p>
            <w:pPr>
              <w:pStyle w:val="TableContents"/>
              <w:bidi w:val="0"/>
              <w:spacing w:before="0" w:after="283"/>
              <w:jc w:val="left"/>
              <w:rPr>
                <w:sz w:val="4"/>
                <w:szCs w:val="4"/>
              </w:rPr>
            </w:pPr>
            <w:r>
              <w:rPr>
                <w:sz w:val="4"/>
                <w:szCs w:val="4"/>
              </w:rPr>
            </w:r>
          </w:p>
        </w:tc>
        <w:tc>
          <w:tcPr>
            <w:tcW w:w="1685" w:type="dxa"/>
            <w:gridSpan w:val="4"/>
            <w:tcBorders/>
            <w:shd w:fill="CCEEFF" w:val="clear"/>
            <w:vAlign w:val="center"/>
          </w:tcPr>
          <w:p>
            <w:pPr>
              <w:pStyle w:val="TableContents"/>
              <w:bidi w:val="0"/>
              <w:spacing w:before="0" w:after="283"/>
              <w:jc w:val="left"/>
              <w:rPr>
                <w:sz w:val="4"/>
                <w:szCs w:val="4"/>
              </w:rPr>
            </w:pPr>
            <w:r>
              <w:rPr>
                <w:sz w:val="4"/>
                <w:szCs w:val="4"/>
              </w:rPr>
            </w:r>
          </w:p>
        </w:tc>
        <w:tc>
          <w:tcPr>
            <w:tcW w:w="1570" w:type="dxa"/>
            <w:gridSpan w:val="4"/>
            <w:tcBorders/>
            <w:shd w:fill="CCEEFF" w:val="clear"/>
            <w:vAlign w:val="center"/>
          </w:tcPr>
          <w:p>
            <w:pPr>
              <w:pStyle w:val="TableContents"/>
              <w:bidi w:val="0"/>
              <w:spacing w:before="0" w:after="283"/>
              <w:jc w:val="left"/>
              <w:rPr>
                <w:sz w:val="4"/>
                <w:szCs w:val="4"/>
              </w:rPr>
            </w:pPr>
            <w:r>
              <w:rPr>
                <w:sz w:val="4"/>
                <w:szCs w:val="4"/>
              </w:rPr>
            </w:r>
          </w:p>
        </w:tc>
        <w:tc>
          <w:tcPr>
            <w:tcW w:w="1625" w:type="dxa"/>
            <w:gridSpan w:val="4"/>
            <w:tcBorders/>
            <w:shd w:fill="CCEEFF" w:val="clear"/>
            <w:vAlign w:val="center"/>
          </w:tcPr>
          <w:p>
            <w:pPr>
              <w:pStyle w:val="TableContents"/>
              <w:bidi w:val="0"/>
              <w:spacing w:before="0" w:after="283"/>
              <w:jc w:val="left"/>
              <w:rPr>
                <w:sz w:val="4"/>
                <w:szCs w:val="4"/>
              </w:rPr>
            </w:pPr>
            <w:r>
              <w:rPr>
                <w:sz w:val="4"/>
                <w:szCs w:val="4"/>
              </w:rPr>
            </w:r>
          </w:p>
        </w:tc>
      </w:tr>
      <w:tr>
        <w:trPr/>
        <w:tc>
          <w:tcPr>
            <w:tcW w:w="395" w:type="dxa"/>
            <w:tcBorders/>
            <w:shd w:fill="CCEEFF" w:val="clear"/>
            <w:vAlign w:val="center"/>
          </w:tcPr>
          <w:p>
            <w:pPr>
              <w:pStyle w:val="TableContents"/>
              <w:bidi w:val="0"/>
              <w:spacing w:before="0" w:after="0"/>
              <w:jc w:val="left"/>
              <w:rPr>
                <w:rFonts w:ascii="Times New Roman" w:hAnsi="Times New Roman"/>
                <w:sz w:val="17"/>
              </w:rPr>
            </w:pPr>
            <w:r>
              <w:rPr>
                <w:rFonts w:ascii="Times New Roman" w:hAnsi="Times New Roman"/>
                <w:sz w:val="17"/>
              </w:rPr>
              <w:t>2023</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PEO</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2,912,579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(1,337,057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2,843,898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1,322,814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(53,298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5,688,936</w:t>
            </w:r>
          </w:p>
        </w:tc>
        <w:tc>
          <w:tcPr>
            <w:tcW w:w="75" w:type="dxa"/>
            <w:tcBorders/>
            <w:shd w:fill="CCEE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left"/>
              <w:rPr/>
            </w:pPr>
            <w:r>
              <w:rPr/>
              <w:t>Non-PEO</w:t>
            </w:r>
          </w:p>
          <w:p>
            <w:pPr>
              <w:pStyle w:val="TableContents"/>
              <w:bidi w:val="0"/>
              <w:spacing w:before="0" w:after="0"/>
              <w:jc w:val="left"/>
              <w:rPr/>
            </w:pPr>
            <w:r>
              <w:rPr/>
              <w:t>NEOs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1,867,763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(472,500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1,924,449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657,900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5,668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(21,675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3" w:type="dxa"/>
            <w:tcBorders/>
            <w:shd w:fill="CCEEFF" w:val="clear"/>
            <w:vAlign w:val="center"/>
          </w:tcPr>
          <w:p>
            <w:pPr>
              <w:pStyle w:val="TableContents"/>
              <w:bidi w:val="0"/>
              <w:spacing w:before="0" w:after="283"/>
              <w:jc w:val="right"/>
              <w:rPr/>
            </w:pPr>
            <w:r>
              <w:rPr/>
              <w:t>3,961,605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(3)</w:t>
            </w:r>
          </w:p>
        </w:tc>
        <w:tc>
          <w:tcPr>
            <w:tcW w:w="9879"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Average total compensation of the </w:t>
            </w:r>
          </w:p>
          <w:p>
            <w:pPr>
              <w:pStyle w:val="TableContents"/>
              <w:bidi w:val="0"/>
              <w:spacing w:before="0" w:after="0"/>
              <w:jc w:val="both"/>
              <w:rPr>
                <w:rFonts w:ascii="Times New Roman" w:hAnsi="Times New Roman"/>
                <w:spacing w:val="0"/>
                <w:sz w:val="18"/>
              </w:rPr>
            </w:pPr>
            <w:r>
              <w:rPr>
                <w:rFonts w:ascii="Times New Roman" w:hAnsi="Times New Roman"/>
                <w:spacing w:val="0"/>
                <w:sz w:val="18"/>
              </w:rPr>
              <w:t>Non-PEO</w:t>
            </w:r>
          </w:p>
          <w:p>
            <w:pPr>
              <w:pStyle w:val="TableContents"/>
              <w:bidi w:val="0"/>
              <w:spacing w:before="0" w:after="0"/>
              <w:jc w:val="both"/>
              <w:rPr>
                <w:rFonts w:ascii="Times New Roman" w:hAnsi="Times New Roman"/>
                <w:sz w:val="18"/>
              </w:rPr>
            </w:pPr>
            <w:r>
              <w:rPr>
                <w:rFonts w:ascii="Times New Roman" w:hAnsi="Times New Roman"/>
                <w:sz w:val="18"/>
              </w:rPr>
              <w:t xml:space="preserve">NEOs as reported in the Summary Compensation Table of this proxy statement and in the definitive proxy statement on Schedule 14A filed with the SEC on March 25, 2025 and in the definitive proxy statement on Schedule 14A filed with the SEC on April 1, 2024. The </w:t>
            </w:r>
          </w:p>
          <w:p>
            <w:pPr>
              <w:pStyle w:val="TableContents"/>
              <w:bidi w:val="0"/>
              <w:spacing w:before="0" w:after="0"/>
              <w:jc w:val="both"/>
              <w:rPr>
                <w:rFonts w:ascii="Times New Roman" w:hAnsi="Times New Roman"/>
                <w:spacing w:val="0"/>
                <w:sz w:val="18"/>
              </w:rPr>
            </w:pPr>
            <w:r>
              <w:rPr>
                <w:rFonts w:ascii="Times New Roman" w:hAnsi="Times New Roman"/>
                <w:spacing w:val="0"/>
                <w:sz w:val="18"/>
              </w:rPr>
              <w:t>non-PEO</w:t>
            </w:r>
          </w:p>
          <w:p>
            <w:pPr>
              <w:pStyle w:val="TableContents"/>
              <w:bidi w:val="0"/>
              <w:spacing w:before="0" w:after="0"/>
              <w:jc w:val="both"/>
              <w:rPr>
                <w:rFonts w:ascii="Times New Roman" w:hAnsi="Times New Roman"/>
                <w:sz w:val="18"/>
              </w:rPr>
            </w:pPr>
            <w:r>
              <w:rPr>
                <w:rFonts w:ascii="Times New Roman" w:hAnsi="Times New Roman"/>
                <w:sz w:val="18"/>
              </w:rPr>
              <w:t xml:space="preserve">NEOs for fiscal year 2023 were Mr. Reisz and Mr. Drake, the </w:t>
            </w:r>
          </w:p>
          <w:p>
            <w:pPr>
              <w:pStyle w:val="TableContents"/>
              <w:bidi w:val="0"/>
              <w:spacing w:before="0" w:after="0"/>
              <w:jc w:val="both"/>
              <w:rPr>
                <w:rFonts w:ascii="Times New Roman" w:hAnsi="Times New Roman"/>
                <w:spacing w:val="0"/>
                <w:sz w:val="18"/>
              </w:rPr>
            </w:pPr>
            <w:r>
              <w:rPr>
                <w:rFonts w:ascii="Times New Roman" w:hAnsi="Times New Roman"/>
                <w:spacing w:val="0"/>
                <w:sz w:val="18"/>
              </w:rPr>
              <w:t>non-PEO</w:t>
            </w:r>
          </w:p>
          <w:p>
            <w:pPr>
              <w:pStyle w:val="TableContents"/>
              <w:bidi w:val="0"/>
              <w:spacing w:before="0" w:after="0"/>
              <w:jc w:val="both"/>
              <w:rPr>
                <w:rFonts w:ascii="Times New Roman" w:hAnsi="Times New Roman"/>
                <w:sz w:val="18"/>
              </w:rPr>
            </w:pPr>
            <w:r>
              <w:rPr>
                <w:rFonts w:ascii="Times New Roman" w:hAnsi="Times New Roman"/>
                <w:sz w:val="18"/>
              </w:rPr>
              <w:t xml:space="preserve">NEOs for fiscal year 2024 were Mr. Buckhalter and Mr. Perchik, and the </w:t>
            </w:r>
          </w:p>
          <w:p>
            <w:pPr>
              <w:pStyle w:val="TableContents"/>
              <w:bidi w:val="0"/>
              <w:spacing w:before="0" w:after="0"/>
              <w:jc w:val="both"/>
              <w:rPr>
                <w:rFonts w:ascii="Times New Roman" w:hAnsi="Times New Roman"/>
                <w:spacing w:val="0"/>
                <w:sz w:val="18"/>
              </w:rPr>
            </w:pPr>
            <w:r>
              <w:rPr>
                <w:rFonts w:ascii="Times New Roman" w:hAnsi="Times New Roman"/>
                <w:spacing w:val="0"/>
                <w:sz w:val="18"/>
              </w:rPr>
              <w:t>non-PEO</w:t>
            </w:r>
          </w:p>
          <w:p>
            <w:pPr>
              <w:pStyle w:val="TableContents"/>
              <w:bidi w:val="0"/>
              <w:spacing w:before="0" w:after="0"/>
              <w:jc w:val="both"/>
              <w:rPr>
                <w:rFonts w:ascii="Times New Roman" w:hAnsi="Times New Roman"/>
                <w:sz w:val="18"/>
              </w:rPr>
            </w:pPr>
            <w:r>
              <w:rPr>
                <w:rFonts w:ascii="Times New Roman" w:hAnsi="Times New Roman"/>
                <w:sz w:val="18"/>
              </w:rPr>
              <w:t xml:space="preserve">NEOs for fiscal year 2025 were Mr. Buckhalter and Mr. Reisz.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290"/>
        <w:gridCol w:w="80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Total shareholder return in the covered fiscal year based on a fixed investment of $100 as of December 31, 2022.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290"/>
        <w:gridCol w:w="44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4460" w:type="dxa"/>
            <w:tcBorders/>
            <w:vAlign w:val="center"/>
          </w:tcPr>
          <w:p>
            <w:pPr>
              <w:pStyle w:val="TableContents"/>
              <w:bidi w:val="0"/>
              <w:spacing w:before="0" w:after="0"/>
              <w:jc w:val="both"/>
              <w:rPr>
                <w:rFonts w:ascii="Times New Roman" w:hAnsi="Times New Roman"/>
                <w:sz w:val="18"/>
              </w:rPr>
            </w:pPr>
            <w:r>
              <w:rPr>
                <w:rFonts w:ascii="Times New Roman" w:hAnsi="Times New Roman"/>
                <w:sz w:val="18"/>
              </w:rPr>
              <w:t xml:space="preserve">Net income (loss) as reported in our Annual Reports on Form </w:t>
            </w:r>
          </w:p>
          <w:p>
            <w:pPr>
              <w:pStyle w:val="TableContents"/>
              <w:bidi w:val="0"/>
              <w:spacing w:before="0" w:after="0"/>
              <w:jc w:val="both"/>
              <w:rPr>
                <w:rFonts w:ascii="Times New Roman" w:hAnsi="Times New Roman"/>
                <w:spacing w:val="0"/>
                <w:sz w:val="18"/>
              </w:rPr>
            </w:pPr>
            <w:r>
              <w:rPr>
                <w:rFonts w:ascii="Times New Roman" w:hAnsi="Times New Roman"/>
                <w:spacing w:val="0"/>
                <w:sz w:val="18"/>
              </w:rPr>
              <w:t>10-K.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Narrative to Pay versus Performance Table </w:t>
      </w:r>
    </w:p>
    <w:p>
      <w:pPr>
        <w:pStyle w:val="TextBody"/>
        <w:bidi w:val="0"/>
        <w:spacing w:before="0" w:after="0"/>
        <w:jc w:val="left"/>
        <w:rPr/>
      </w:pPr>
      <w:r>
        <w:rPr/>
        <w:t> </w:t>
      </w:r>
    </w:p>
    <w:p>
      <w:pPr>
        <w:pStyle w:val="TextBody"/>
        <w:bidi w:val="0"/>
        <w:spacing w:before="0" w:after="0"/>
        <w:jc w:val="center"/>
        <w:rPr/>
      </w:pPr>
      <w:r>
        <w:rPr/>
        <w:drawing>
          <wp:inline distT="0" distB="0" distL="0" distR="0">
            <wp:extent cx="4941570" cy="30854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41570" cy="30854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versus Total Shareholder Return </w:t>
      </w:r>
    </w:p>
    <w:p>
      <w:pPr>
        <w:pStyle w:val="TextBody"/>
        <w:bidi w:val="0"/>
        <w:spacing w:before="240" w:after="0"/>
        <w:jc w:val="both"/>
        <w:rPr>
          <w:rFonts w:ascii="Times New Roman" w:hAnsi="Times New Roman"/>
          <w:sz w:val="20"/>
        </w:rPr>
      </w:pPr>
      <w:r>
        <w:rPr>
          <w:rFonts w:ascii="Times New Roman" w:hAnsi="Times New Roman"/>
          <w:sz w:val="20"/>
        </w:rPr>
        <w:t xml:space="preserve">Compensation Actually Paid to the PEO and Average Compensation Actually Paid to </w:t>
      </w:r>
    </w:p>
    <w:p>
      <w:pPr>
        <w:pStyle w:val="TextBody"/>
        <w:bidi w:val="0"/>
        <w:spacing w:before="240" w:after="0"/>
        <w:jc w:val="both"/>
        <w:rPr>
          <w:rFonts w:ascii="Times New Roman" w:hAnsi="Times New Roman"/>
          <w:spacing w:val="0"/>
          <w:sz w:val="20"/>
        </w:rPr>
      </w:pPr>
      <w:r>
        <w:rPr>
          <w:rFonts w:ascii="Times New Roman" w:hAnsi="Times New Roman"/>
          <w:spacing w:val="0"/>
          <w:sz w:val="20"/>
        </w:rPr>
        <w:t>Non-PEO</w:t>
      </w:r>
    </w:p>
    <w:p>
      <w:pPr>
        <w:pStyle w:val="TextBody"/>
        <w:bidi w:val="0"/>
        <w:spacing w:before="240" w:after="0"/>
        <w:jc w:val="both"/>
        <w:rPr>
          <w:rFonts w:ascii="Times New Roman" w:hAnsi="Times New Roman"/>
          <w:sz w:val="20"/>
        </w:rPr>
      </w:pPr>
      <w:r>
        <w:rPr>
          <w:rFonts w:ascii="Times New Roman" w:hAnsi="Times New Roman"/>
          <w:sz w:val="20"/>
        </w:rPr>
        <w:t xml:space="preserve">NEOs in the covered fiscal years was positive. Total Shareholder Return was positive in all periods when compared to an initial investment date of December 31, 2022.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Compensation Actually Paid versus Net Income (Loss) </w:t>
      </w:r>
    </w:p>
    <w:p>
      <w:pPr>
        <w:pStyle w:val="TextBody"/>
        <w:bidi w:val="0"/>
        <w:spacing w:before="240" w:after="0"/>
        <w:jc w:val="both"/>
        <w:rPr>
          <w:rFonts w:ascii="Times New Roman" w:hAnsi="Times New Roman"/>
          <w:sz w:val="20"/>
        </w:rPr>
      </w:pPr>
      <w:r>
        <w:rPr>
          <w:rFonts w:ascii="Times New Roman" w:hAnsi="Times New Roman"/>
          <w:sz w:val="20"/>
        </w:rPr>
        <w:t xml:space="preserve">Compensation Actually Paid to the PEO and Average Compensation Actually Paid to </w:t>
      </w:r>
    </w:p>
    <w:p>
      <w:pPr>
        <w:pStyle w:val="TextBody"/>
        <w:bidi w:val="0"/>
        <w:spacing w:before="240" w:after="0"/>
        <w:jc w:val="both"/>
        <w:rPr>
          <w:rFonts w:ascii="Times New Roman" w:hAnsi="Times New Roman"/>
          <w:spacing w:val="0"/>
          <w:sz w:val="20"/>
        </w:rPr>
      </w:pPr>
      <w:r>
        <w:rPr>
          <w:rFonts w:ascii="Times New Roman" w:hAnsi="Times New Roman"/>
          <w:spacing w:val="0"/>
          <w:sz w:val="20"/>
        </w:rPr>
        <w:t>Non-PEO</w:t>
      </w:r>
    </w:p>
    <w:p>
      <w:pPr>
        <w:pStyle w:val="TextBody"/>
        <w:bidi w:val="0"/>
        <w:spacing w:before="240" w:after="0"/>
        <w:jc w:val="both"/>
        <w:rPr>
          <w:rFonts w:ascii="Times New Roman" w:hAnsi="Times New Roman"/>
          <w:sz w:val="20"/>
        </w:rPr>
      </w:pPr>
      <w:r>
        <w:rPr>
          <w:rFonts w:ascii="Times New Roman" w:hAnsi="Times New Roman"/>
          <w:sz w:val="20"/>
        </w:rPr>
        <w:t xml:space="preserve">NEOs in the covered fiscal years was positive in each fiscal year reported. The Company reported a net loss in fiscal years 2023 and 2024, and net income in fiscal year 2025. </w:t>
      </w:r>
    </w:p>
    <w:p>
      <w:pPr>
        <w:pStyle w:val="TextBody"/>
        <w:bidi w:val="0"/>
        <w:spacing w:before="240" w:after="0"/>
        <w:jc w:val="left"/>
        <w:rPr>
          <w:rFonts w:ascii="Times New Roman" w:hAnsi="Times New Roman"/>
          <w:b/>
          <w:sz w:val="20"/>
        </w:rPr>
      </w:pPr>
      <w:r>
        <w:rPr>
          <w:rFonts w:ascii="Times New Roman" w:hAnsi="Times New Roman"/>
          <w:b/>
          <w:sz w:val="20"/>
        </w:rPr>
        <w:t xml:space="preserve">Policies and Practices Related to the Grant of Certain Equity Awards </w:t>
      </w:r>
    </w:p>
    <w:p>
      <w:pPr>
        <w:pStyle w:val="TextBody"/>
        <w:bidi w:val="0"/>
        <w:spacing w:before="240" w:after="0"/>
        <w:jc w:val="both"/>
        <w:rPr>
          <w:rFonts w:ascii="Times New Roman" w:hAnsi="Times New Roman"/>
          <w:sz w:val="20"/>
        </w:rPr>
      </w:pPr>
      <w:r>
        <w:rPr>
          <w:rFonts w:ascii="Times New Roman" w:hAnsi="Times New Roman"/>
          <w:sz w:val="20"/>
        </w:rPr>
        <w:t xml:space="preserve">We have not granted new awards of stock options, stock appreciation rights, or similar option-like instruments within four business days before or one business day after the release of a Quarterly Report on </w:t>
      </w:r>
    </w:p>
    <w:p>
      <w:pPr>
        <w:pStyle w:val="TextBody"/>
        <w:bidi w:val="0"/>
        <w:spacing w:before="240" w:after="0"/>
        <w:jc w:val="both"/>
        <w:rPr>
          <w:rFonts w:ascii="Times New Roman" w:hAnsi="Times New Roman"/>
          <w:spacing w:val="0"/>
          <w:sz w:val="20"/>
        </w:rPr>
      </w:pPr>
      <w:r>
        <w:rPr>
          <w:rFonts w:ascii="Times New Roman" w:hAnsi="Times New Roman"/>
          <w:spacing w:val="0"/>
          <w:sz w:val="20"/>
        </w:rPr>
        <w:t>Form 10-Q,</w:t>
      </w:r>
    </w:p>
    <w:p>
      <w:pPr>
        <w:pStyle w:val="TextBody"/>
        <w:bidi w:val="0"/>
        <w:spacing w:before="240" w:after="0"/>
        <w:jc w:val="both"/>
        <w:rPr>
          <w:rFonts w:ascii="Times New Roman" w:hAnsi="Times New Roman"/>
          <w:sz w:val="20"/>
        </w:rPr>
      </w:pPr>
      <w:r>
        <w:rPr>
          <w:rFonts w:ascii="Times New Roman" w:hAnsi="Times New Roman"/>
          <w:sz w:val="20"/>
        </w:rPr>
        <w:t xml:space="preserve">Annual Report on Form </w:t>
      </w:r>
    </w:p>
    <w:p>
      <w:pPr>
        <w:pStyle w:val="TextBody"/>
        <w:bidi w:val="0"/>
        <w:spacing w:before="240" w:after="0"/>
        <w:jc w:val="both"/>
        <w:rPr>
          <w:rFonts w:ascii="Times New Roman" w:hAnsi="Times New Roman"/>
          <w:spacing w:val="0"/>
          <w:sz w:val="20"/>
        </w:rPr>
      </w:pPr>
      <w:r>
        <w:rPr>
          <w:rFonts w:ascii="Times New Roman" w:hAnsi="Times New Roman"/>
          <w:spacing w:val="0"/>
          <w:sz w:val="20"/>
        </w:rPr>
        <w:t>10-K,</w:t>
      </w:r>
    </w:p>
    <w:p>
      <w:pPr>
        <w:pStyle w:val="TextBody"/>
        <w:bidi w:val="0"/>
        <w:spacing w:before="240" w:after="0"/>
        <w:jc w:val="both"/>
        <w:rPr>
          <w:rFonts w:ascii="Times New Roman" w:hAnsi="Times New Roman"/>
          <w:sz w:val="20"/>
        </w:rPr>
      </w:pPr>
      <w:r>
        <w:rPr>
          <w:rFonts w:ascii="Times New Roman" w:hAnsi="Times New Roman"/>
          <w:sz w:val="20"/>
        </w:rPr>
        <w:t xml:space="preserve">or Current Report on Form </w:t>
      </w:r>
    </w:p>
    <w:p>
      <w:pPr>
        <w:pStyle w:val="TextBody"/>
        <w:bidi w:val="0"/>
        <w:spacing w:before="240" w:after="0"/>
        <w:jc w:val="both"/>
        <w:rPr>
          <w:rFonts w:ascii="Times New Roman" w:hAnsi="Times New Roman"/>
          <w:spacing w:val="0"/>
          <w:sz w:val="20"/>
        </w:rPr>
      </w:pPr>
      <w:r>
        <w:rPr>
          <w:rFonts w:ascii="Times New Roman" w:hAnsi="Times New Roman"/>
          <w:spacing w:val="0"/>
          <w:sz w:val="20"/>
        </w:rPr>
        <w:t>8-K</w:t>
      </w:r>
    </w:p>
    <w:p>
      <w:pPr>
        <w:pStyle w:val="TextBody"/>
        <w:bidi w:val="0"/>
        <w:spacing w:before="240" w:after="0"/>
        <w:jc w:val="both"/>
        <w:rPr>
          <w:rFonts w:ascii="Times New Roman" w:hAnsi="Times New Roman"/>
          <w:sz w:val="20"/>
        </w:rPr>
      </w:pPr>
      <w:r>
        <w:rPr>
          <w:rFonts w:ascii="Times New Roman" w:hAnsi="Times New Roman"/>
          <w:sz w:val="20"/>
        </w:rPr>
        <w:t xml:space="preserve">that discloses material nonpublic information. Accordingly, we have no specific policy or practice on the timing of awards of such options in relation to the disclosure of material nonpublic information by us. In the event that we determine to grant new awards of such options, the Board of Directors will evaluate the appropriate steps to take in relation to the foregoing.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798829_15"/>
      <w:bookmarkEnd w:id="16"/>
      <w:r>
        <w:rPr>
          <w:rFonts w:ascii="Times New Roman" w:hAnsi="Times New Roman"/>
          <w:b/>
          <w:sz w:val="20"/>
        </w:rPr>
        <w:t xml:space="preserve">NAMED EXECUTIVE OFFICER EMPLOYMENT AGREEMENT PROVISIONS: POTENTIAL PAYMENTS UPON TERMINATION OR CHANGE IN CONTROL </w:t>
      </w:r>
    </w:p>
    <w:p>
      <w:pPr>
        <w:pStyle w:val="TextBody"/>
        <w:bidi w:val="0"/>
        <w:spacing w:before="240" w:after="0"/>
        <w:jc w:val="both"/>
        <w:rPr>
          <w:rFonts w:ascii="Times New Roman" w:hAnsi="Times New Roman"/>
          <w:sz w:val="20"/>
        </w:rPr>
      </w:pPr>
      <w:r>
        <w:rPr>
          <w:rFonts w:ascii="Times New Roman" w:hAnsi="Times New Roman"/>
          <w:sz w:val="20"/>
        </w:rPr>
        <w:t xml:space="preserve">Effective February 17, 2026, we entered into new employment agreements (the “Employment Agreements”) with each of our Named Executive Officers that replaced their prior employment agreements with us. The Employment Agreements continue until terminated by either party pursuant to the terms set forth in the Employment Agreement. The Employment Agreements provide that each executive is entitled to a minimum annual base salary (subject to annual review and increases or decreases by the Board from time to time) and is entitled to participate in all incentive, savings, retirement and welfare benefit plans generally made available to our senior executive officers. Each of these executives has an opportunity to earn an annual non-equity incentive award based upon achievement of performance goals to be established by the Board of Directors. The initial target bonus percentage is 100% for Mr. Shaner and 75% for each of Mr. Buckhalter and Mr. Reisz. In addition, each of the executives is entitled to fringe benefits generally made available to our senior executive officers, and will be eligible, in the sole discretion of the Board of Directors, for equity grants under the 2021 Plan. </w:t>
      </w:r>
    </w:p>
    <w:p>
      <w:pPr>
        <w:pStyle w:val="TextBody"/>
        <w:bidi w:val="0"/>
        <w:spacing w:before="240" w:after="0"/>
        <w:jc w:val="both"/>
        <w:rPr>
          <w:rFonts w:ascii="Times New Roman" w:hAnsi="Times New Roman"/>
          <w:sz w:val="20"/>
        </w:rPr>
      </w:pPr>
      <w:r>
        <w:rPr>
          <w:rFonts w:ascii="Times New Roman" w:hAnsi="Times New Roman"/>
          <w:sz w:val="20"/>
        </w:rPr>
        <w:t xml:space="preserve">The Employment Agreements may be terminated by us at any time with or without “Cause” (as defined therein), or by the executive with or without “Good Reason” (as defined therein). The Employment Agreements also terminate automatically upon the voluntary termination, death or disability of the executive. Depending on the reason for the termination and when it occurs, the executive will be entitled to certain severance benefits, as described below.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Executive’s Voluntary Termination or Termination for Cause </w:t>
      </w:r>
    </w:p>
    <w:p>
      <w:pPr>
        <w:pStyle w:val="TextBody"/>
        <w:bidi w:val="0"/>
        <w:spacing w:before="240" w:after="0"/>
        <w:jc w:val="both"/>
        <w:rPr>
          <w:rFonts w:ascii="Times New Roman" w:hAnsi="Times New Roman"/>
          <w:sz w:val="20"/>
        </w:rPr>
      </w:pPr>
      <w:r>
        <w:rPr>
          <w:rFonts w:ascii="Times New Roman" w:hAnsi="Times New Roman"/>
          <w:sz w:val="20"/>
        </w:rPr>
        <w:t xml:space="preserve">If an executive is terminated for Cause or voluntarily resigns without Good Reason, the executive receives only the salary and vested benefits that have accrued through the date of termination. No other severance benefits are payable. Specifically, the executive will be entitled to the following: (i) any base salary that has accrued but is unpaid, (ii) any annual bonus that has been earned for the calendar year preceding the calendar year in which termination occurs but is unpaid (other than in the event we terminate an executive for Cause), payable at the same time annual bonuses for such year are paid to other senior executives of the Company, and (iii) any unreimbursed business expenses incurred prior to the termination date. </w:t>
      </w:r>
    </w:p>
    <w:p>
      <w:pPr>
        <w:pStyle w:val="TextBody"/>
        <w:bidi w:val="0"/>
        <w:spacing w:before="240" w:after="0"/>
        <w:jc w:val="left"/>
        <w:rPr>
          <w:rFonts w:ascii="Times New Roman" w:hAnsi="Times New Roman"/>
          <w:b/>
          <w:sz w:val="20"/>
        </w:rPr>
      </w:pPr>
      <w:r>
        <w:rPr>
          <w:rFonts w:ascii="Times New Roman" w:hAnsi="Times New Roman"/>
          <w:b/>
          <w:sz w:val="20"/>
        </w:rPr>
        <w:t xml:space="preserve">Termination without Cause; Resignation for Good Reason – Not During a Change in Control Period </w:t>
      </w:r>
    </w:p>
    <w:p>
      <w:pPr>
        <w:pStyle w:val="TextBody"/>
        <w:bidi w:val="0"/>
        <w:spacing w:before="240" w:after="0"/>
        <w:jc w:val="both"/>
        <w:rPr>
          <w:rFonts w:ascii="Times New Roman" w:hAnsi="Times New Roman"/>
          <w:sz w:val="20"/>
        </w:rPr>
      </w:pPr>
      <w:r>
        <w:rPr>
          <w:rFonts w:ascii="Times New Roman" w:hAnsi="Times New Roman"/>
          <w:sz w:val="20"/>
        </w:rPr>
        <w:t xml:space="preserve">Under the Employment Agreements, if the executive is terminated without Cause or resigns for Good Reason other than during a Change in Control Period (as defined in the Employment Agreements), in addition to those sums the executive receives in the event of termination for Voluntary Termination or Termination for Cause, the executive will also receive the following benefits: (i) a pro rata portion of the executive’s annual bonus for the calendar year in which the termination occurs based on actual results for such year, (ii) payment of severance benefits equal to one times (two times for Mr. Shaner) the sum of (a) the executive’s annual base salary for the year in which the termination occurs and (b) the target bonus for the year in which the termination occurs (or if the executive’s employment terminated due to Good Reason based on a reduction in the executive’s target bonus, at the target amount in effect immediately before such reduction), payable in equal installments for the 12-month (24-month for Mr. Shaner) period following the date of termination, and (iii) the continuation of health and welfare benefits until the earlier of (a) the date the executive is eligible under another employer’s plan or (b) 12 months (24 months for Mr. Shaner) from the date of termination. </w:t>
      </w:r>
    </w:p>
    <w:p>
      <w:pPr>
        <w:pStyle w:val="TextBody"/>
        <w:bidi w:val="0"/>
        <w:spacing w:before="240" w:after="0"/>
        <w:jc w:val="left"/>
        <w:rPr>
          <w:rFonts w:ascii="Times New Roman" w:hAnsi="Times New Roman"/>
          <w:b/>
          <w:sz w:val="20"/>
        </w:rPr>
      </w:pPr>
      <w:r>
        <w:rPr>
          <w:rFonts w:ascii="Times New Roman" w:hAnsi="Times New Roman"/>
          <w:b/>
          <w:sz w:val="20"/>
        </w:rPr>
        <w:t xml:space="preserve">Termination without Cause; Resignation for Good Reason – During a Change in Control Period </w:t>
      </w:r>
    </w:p>
    <w:p>
      <w:pPr>
        <w:pStyle w:val="TextBody"/>
        <w:bidi w:val="0"/>
        <w:spacing w:before="240" w:after="0"/>
        <w:jc w:val="both"/>
        <w:rPr>
          <w:rFonts w:ascii="Times New Roman" w:hAnsi="Times New Roman"/>
          <w:sz w:val="20"/>
        </w:rPr>
      </w:pPr>
      <w:r>
        <w:rPr>
          <w:rFonts w:ascii="Times New Roman" w:hAnsi="Times New Roman"/>
          <w:sz w:val="20"/>
        </w:rPr>
        <w:t xml:space="preserve">Under the Employment Agreements, if the executive is terminated without Cause or resigns for Good Reason during a Change in Control Period, the executive will receive the following severance and group health benefits in place of the severance and group benefits received during a termination that does not occur during a Change in Control Period: (i) a pro rata portion of the executive’s annual bonus for the calendar year in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termination occurs based on actual results for such year, (ii) payment of severance benefits equal to two times (two and a half times for Mr. Shaner) the sum of (a) the executive’s annual base salary for the year in which the termination occurs and (b) the target bonus for the year in which the termination occurs (or if the executive’s employment terminated due to Good Reason based on a reduction in the executive’s target bonus, at the target amount in effect immediately before such reduction), payable in a lump sum, and (iii) an amount equal to the monthly premium for COBRA continuation coverage for the executive, his spouse and/or his dependents multiplied by 24 (30 for Mr. Shaner). </w:t>
      </w:r>
    </w:p>
    <w:p>
      <w:pPr>
        <w:pStyle w:val="TextBody"/>
        <w:bidi w:val="0"/>
        <w:spacing w:before="240" w:after="0"/>
        <w:jc w:val="left"/>
        <w:rPr>
          <w:rFonts w:ascii="Times New Roman" w:hAnsi="Times New Roman"/>
          <w:b/>
          <w:sz w:val="20"/>
        </w:rPr>
      </w:pPr>
      <w:r>
        <w:rPr>
          <w:rFonts w:ascii="Times New Roman" w:hAnsi="Times New Roman"/>
          <w:b/>
          <w:sz w:val="20"/>
        </w:rPr>
        <w:t xml:space="preserve">Termination Due to Death or Disability </w:t>
      </w:r>
    </w:p>
    <w:p>
      <w:pPr>
        <w:pStyle w:val="TextBody"/>
        <w:bidi w:val="0"/>
        <w:spacing w:before="240" w:after="0"/>
        <w:jc w:val="both"/>
        <w:rPr>
          <w:rFonts w:ascii="Times New Roman" w:hAnsi="Times New Roman"/>
          <w:sz w:val="20"/>
        </w:rPr>
      </w:pPr>
      <w:r>
        <w:rPr>
          <w:rFonts w:ascii="Times New Roman" w:hAnsi="Times New Roman"/>
          <w:sz w:val="20"/>
        </w:rPr>
        <w:t xml:space="preserve">Under the Employment Agreements, if the executive is terminated due to death or Disability (as defined in the Employment Agreements), the executive will receive the following: (i) any base salary that has accrued but is unpaid and (ii) a pro rata portion of the executive’s annual bonus for the calendar year in which the termination occurs based on actual results for such year. </w:t>
      </w:r>
    </w:p>
    <w:p>
      <w:pPr>
        <w:pStyle w:val="TextBody"/>
        <w:bidi w:val="0"/>
        <w:spacing w:before="240" w:after="0"/>
        <w:jc w:val="left"/>
        <w:rPr>
          <w:rFonts w:ascii="Times New Roman" w:hAnsi="Times New Roman"/>
          <w:b/>
          <w:sz w:val="20"/>
        </w:rPr>
      </w:pPr>
      <w:r>
        <w:rPr>
          <w:rFonts w:ascii="Times New Roman" w:hAnsi="Times New Roman"/>
          <w:b/>
          <w:sz w:val="20"/>
        </w:rPr>
        <w:t xml:space="preserve">Restrictive Covenants </w:t>
      </w:r>
    </w:p>
    <w:p>
      <w:pPr>
        <w:pStyle w:val="TextBody"/>
        <w:bidi w:val="0"/>
        <w:spacing w:before="240" w:after="0"/>
        <w:jc w:val="both"/>
        <w:rPr>
          <w:rFonts w:ascii="Times New Roman" w:hAnsi="Times New Roman"/>
          <w:sz w:val="20"/>
        </w:rPr>
      </w:pPr>
      <w:r>
        <w:rPr>
          <w:rFonts w:ascii="Times New Roman" w:hAnsi="Times New Roman"/>
          <w:sz w:val="20"/>
        </w:rPr>
        <w:t xml:space="preserve">Each of the Employment Agreements contains confidentiality, non-disparagement, non-compete, non-solicitation and cooperation covenants that apply during the executive’s employment with the Company and for a 12-month (24-month for Mr. Shaner) period after the executive’s termination of employment (or a 24-month (30-month for Mr. Shaner) period if such termination occurs in connection with a Change in Control). </w:t>
      </w:r>
    </w:p>
    <w:p>
      <w:pPr>
        <w:pStyle w:val="TextBody"/>
        <w:bidi w:val="0"/>
        <w:spacing w:before="240" w:after="0"/>
        <w:jc w:val="both"/>
        <w:rPr>
          <w:rFonts w:ascii="Times New Roman" w:hAnsi="Times New Roman"/>
          <w:b/>
          <w:sz w:val="20"/>
        </w:rPr>
      </w:pPr>
      <w:r>
        <w:rPr>
          <w:rFonts w:ascii="Times New Roman" w:hAnsi="Times New Roman"/>
          <w:b/>
          <w:sz w:val="20"/>
        </w:rPr>
        <w:t xml:space="preserve">Treatment of Equity Awards Upon the Executive’s Termination, Death or Disability, or a Change of Control </w:t>
      </w:r>
    </w:p>
    <w:p>
      <w:pPr>
        <w:pStyle w:val="TextBody"/>
        <w:bidi w:val="0"/>
        <w:spacing w:before="240" w:after="0"/>
        <w:jc w:val="both"/>
        <w:rPr>
          <w:rFonts w:ascii="Times New Roman" w:hAnsi="Times New Roman"/>
          <w:sz w:val="20"/>
        </w:rPr>
      </w:pPr>
      <w:r>
        <w:rPr>
          <w:rFonts w:ascii="Times New Roman" w:hAnsi="Times New Roman"/>
          <w:sz w:val="20"/>
        </w:rPr>
        <w:t xml:space="preserve">Under the 2017 Plan, vested options generally remain exercisable for ninety days following the Named Executive Officer’s termination for any reason, except (i) all options are forfeited upon a termination for Cause or breach of a restrictive covenant, and (ii) vested options remain exercisable for a period of twelve months following termination in the event of the Named Executive Officer’s death or Disability (as defined in the 2017 Plan). Upon the death or Disability of a Named Executive Officer, pursuant to the 2017 Plan, the Named Executive Officer is entitled to the immediate vesting of an additional forty percent (40%) of their Time-Vesting Options (as defined in the 2017 Plan), provided that no more than one hundred percent (100%) of the Time-Vesting Options will vest as a result of this additional vesting. Any unvested options lapse on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The Employment Agreements provide that if the executive is terminated without Cause or resigns for Good Reason other than during a Change in Control Period or due to death or disability, (i) all equity awards will continue to vest in accordance with their terms through the date the executive terminates his employment and (ii) all RSUs will vest on a pro-rata basis based on the applicable vesting period and all PSUs will vest on a pro-rata basis based on the applicable performance period, subject to the final determination of actual performance, on the date the executive terminates his employment. If the executive is terminated without Cause or resigns for Good Reason during a Change in Control Period, (i) all equity awards will continue to vest in accordance with their terms through the date the executive terminates his employment, (ii) all outstanding equity awards will immediately vest as of the date the executive terminates his employment and (iii) all PSUs will vest assuming the achievement of the greater of target and actual performance for each applicable performance period on the date the executive terminates his employment. Unless otherwise provided above or in the Employment Agreements, all other unvested equity awards are forfeited as of the date the executive terminates his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798829_16"/>
      <w:bookmarkEnd w:id="17"/>
      <w:r>
        <w:rPr>
          <w:rFonts w:ascii="Times New Roman" w:hAnsi="Times New Roman"/>
          <w:b/>
          <w:sz w:val="20"/>
        </w:rPr>
        <w:t xml:space="preserve">DIRECTOR COMPENSATION </w:t>
      </w:r>
    </w:p>
    <w:p>
      <w:pPr>
        <w:pStyle w:val="TextBody"/>
        <w:bidi w:val="0"/>
        <w:spacing w:before="240" w:after="0"/>
        <w:jc w:val="both"/>
        <w:rPr>
          <w:rFonts w:ascii="Times New Roman" w:hAnsi="Times New Roman"/>
          <w:sz w:val="20"/>
        </w:rPr>
      </w:pPr>
      <w:r>
        <w:rPr>
          <w:rFonts w:ascii="Times New Roman" w:hAnsi="Times New Roman"/>
          <w:sz w:val="20"/>
        </w:rPr>
        <w:t xml:space="preserve">Consistent with the Company’s independent and non-employee director compensation policy, our independent and non-employee directors receive an annual cash retainer of $70,000. Our compensated independent and non-employee directors for fiscal year 2025 are Victor F. Ganzi, Brent Layton, Sheldon M. Retchin, Steven E. Rodgers, Erica Schwartz and Rodney D. Windley. In addition, the Chairmen of the Company’s Audit Committee, Compensation Committee, Nominating and Corporate Governance Committee and Clinical Quality Committee each receive an additional annual retainer of $25,000, $15,000, $12,000 and $12,000, respectively. Members of the Company’s Audit Committee, Compensation Committee, Nominating and Corporate Governance Committee and Clinical Quality Committee each receive an additional annual retainer of $12,500, $7,500, $6,000 and $6,000, respectively. Independent and non-employee directors are reimbursed for reasonable expenses incurred in attending Board of Directors meetings and committee meetings, as well as with any director education programs they attend relating to their service on our Board of Directors. In addition, each compensated independent and non-employee director receives an annual grant of restricted stock units of the Company valued at approximately $130,000. Each grant of restricted stock units to an independent or non-employee director fully vests one-year from the grant date, pursuant to the terms of the 2021 Plan. The Board Chairman receives an annual retainer of $90,000 and an annual restricted stock unit grant valued at approximately $150,000, to be awarded in conjunction with the awards of other compensated directors.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value of all cash and equity-based compensation paid to the independent or non-employee members of our Board of Directors during the fiscal year ended January 3, 2026. </w:t>
      </w:r>
    </w:p>
    <w:p>
      <w:pPr>
        <w:pStyle w:val="TextBody"/>
        <w:bidi w:val="0"/>
        <w:spacing w:before="0" w:after="0"/>
        <w:jc w:val="left"/>
        <w:rPr/>
      </w:pPr>
      <w:r>
        <w:rPr/>
        <w:t> </w:t>
      </w:r>
    </w:p>
    <w:tbl>
      <w:tblPr>
        <w:tblW w:w="8924" w:type="dxa"/>
        <w:jc w:val="left"/>
        <w:tblInd w:w="0" w:type="dxa"/>
        <w:tblLayout w:type="fixed"/>
        <w:tblCellMar>
          <w:top w:w="0" w:type="dxa"/>
          <w:left w:w="0" w:type="dxa"/>
          <w:bottom w:w="0" w:type="dxa"/>
          <w:right w:w="0" w:type="dxa"/>
        </w:tblCellMar>
      </w:tblPr>
      <w:tblGrid>
        <w:gridCol w:w="3215"/>
        <w:gridCol w:w="120"/>
        <w:gridCol w:w="1310"/>
        <w:gridCol w:w="120"/>
        <w:gridCol w:w="140"/>
        <w:gridCol w:w="920"/>
        <w:gridCol w:w="60"/>
        <w:gridCol w:w="120"/>
        <w:gridCol w:w="1490"/>
        <w:gridCol w:w="120"/>
        <w:gridCol w:w="163"/>
        <w:gridCol w:w="1071"/>
        <w:gridCol w:w="75"/>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Name</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20"/>
              </w:rPr>
            </w:pPr>
            <w:r>
              <w:rPr>
                <w:rFonts w:ascii="Times New Roman" w:hAnsi="Times New Roman"/>
                <w:b/>
                <w:sz w:val="20"/>
              </w:rPr>
              <w:t>Fees Earned or</w:t>
              <w:br/>
              <w:t>Paid in Cash</w:t>
              <w:br/>
              <w:t>($)</w:t>
            </w:r>
          </w:p>
        </w:tc>
        <w:tc>
          <w:tcPr>
            <w:tcW w:w="12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12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Total  </w:t>
              <w:br/>
              <w:t>($)</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Victor F. Ganzi</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$  95,000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r>
              <w:rPr/>
              <w:t>130,000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$   - 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 </w:t>
            </w:r>
            <w:r>
              <w:rPr/>
              <w:t>225,000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Christopher R. Gordon (2)(3)</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0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Brent Layton</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$   82,500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$   - 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212,500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Devin O’Reilly (2)</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0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Steven E. Rodgers</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$  90,000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$   - 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220,000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Erica Schwartz, M.D., J.D., M.P.H.</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$  82,000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130,000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071" w:type="dxa"/>
            <w:tcBorders/>
            <w:vAlign w:val="center"/>
          </w:tcPr>
          <w:p>
            <w:pPr>
              <w:pStyle w:val="TableContents"/>
              <w:bidi w:val="0"/>
              <w:spacing w:before="0" w:after="283"/>
              <w:jc w:val="right"/>
              <w:rPr/>
            </w:pPr>
            <w:r>
              <w:rPr/>
              <w:t>212,000</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Sam Weil (2)</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$   - 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Robert M. Williams, Jr. (2) (4)</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07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Rodney D. Windley</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$ 102,000</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$   - 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252,000</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Sheldon M. Retchin, M.D., M.S.P.H (5)</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$      - 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130,000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071" w:type="dxa"/>
            <w:tcBorders/>
            <w:vAlign w:val="center"/>
          </w:tcPr>
          <w:p>
            <w:pPr>
              <w:pStyle w:val="TableContents"/>
              <w:bidi w:val="0"/>
              <w:spacing w:before="0" w:after="283"/>
              <w:jc w:val="right"/>
              <w:rPr/>
            </w:pPr>
            <w:r>
              <w:rPr/>
              <w:t>130,000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(1)</w:t>
            </w:r>
          </w:p>
        </w:tc>
        <w:tc>
          <w:tcPr>
            <w:tcW w:w="989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in this column reflect the aggregate grant date fair value of restricted stock units, calculated in accordance with FASB ASC Topic 718, utilizing the assumptions discussed in the footnotes to our audited consolidated financial statements. All restricted stock units granted to independent and non-employee directors in 2025 will vest upon the one-year anniversary of the date of grant.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290"/>
        <w:gridCol w:w="87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7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Directors affiliated with our Sponsors did not receive any compensation from Aveanna for fiscal year 2025.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290"/>
        <w:gridCol w:w="68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68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Christopher R. Gordon resigned as a Class II Director, effective November 13, 2025.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290"/>
        <w:gridCol w:w="66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66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Robert M. Williams, Jr. resigned as a Class I Director, effective February 27,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(5)</w:t>
            </w:r>
          </w:p>
        </w:tc>
        <w:tc>
          <w:tcPr>
            <w:tcW w:w="986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Sheldon M. Retchin resigned as a Class III Director, effective March 27, 2025. As approved by the Board, Dr. Retchin received his 2025 grant of restricted stock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798829_17"/>
      <w:bookmarkEnd w:id="18"/>
      <w:r>
        <w:rPr>
          <w:rFonts w:ascii="Times New Roman" w:hAnsi="Times New Roman"/>
          <w:b/>
          <w:sz w:val="20"/>
        </w:rPr>
        <w:t xml:space="preserve">CERTAIN RELATIONSHIPS AND RELATED PARTY TRANSACTIONS </w:t>
      </w:r>
    </w:p>
    <w:p>
      <w:pPr>
        <w:pStyle w:val="TextBody"/>
        <w:bidi w:val="0"/>
        <w:spacing w:before="240" w:after="0"/>
        <w:jc w:val="both"/>
        <w:rPr>
          <w:rFonts w:ascii="Times New Roman" w:hAnsi="Times New Roman"/>
          <w:sz w:val="20"/>
        </w:rPr>
      </w:pPr>
      <w:r>
        <w:rPr>
          <w:rFonts w:ascii="Times New Roman" w:hAnsi="Times New Roman"/>
          <w:sz w:val="20"/>
        </w:rPr>
        <w:t xml:space="preserve">Set forth below is a description of certain relationships and related person transactions between us or our subsidiaries and our directors, executive officers or holders of more than 5% of our outstanding capital stock. The summaries of certain provisions of our related party agreements are qualified in their entirety by reference to all of the provisions of such agreements.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Agreement </w:t>
      </w:r>
    </w:p>
    <w:p>
      <w:pPr>
        <w:pStyle w:val="TextBody"/>
        <w:bidi w:val="0"/>
        <w:spacing w:before="240" w:after="0"/>
        <w:jc w:val="both"/>
        <w:rPr>
          <w:rFonts w:ascii="Times New Roman" w:hAnsi="Times New Roman"/>
          <w:sz w:val="20"/>
        </w:rPr>
      </w:pPr>
      <w:r>
        <w:rPr>
          <w:rFonts w:ascii="Times New Roman" w:hAnsi="Times New Roman"/>
          <w:sz w:val="20"/>
        </w:rPr>
        <w:t xml:space="preserve">On March 16, 2017, the Company and the Sponsor Affiliates entered into a stockholders’ agreement (the “Original Stockholders Agreement”) with respect to their respective investments in the Company, with other investors joining the Stockholders Agreement thereafter from time to time upon their investment in the Company (collectively with the Sponsor Affiliates, the “Investors”). In connection with the consummation of the initial public offering, we amended and restated the Original Stockholders Agreement (as amended and restated and as amended by subsequent amendments on June 6, 2025 and November 13, 2025, the “A&amp;R Stockholders Agreement”).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A&amp;R Stockholders Agreement, each of the Sponsor Affiliates has the right to designate: (i) four of the Company’s directors if such Sponsor Affiliate retains at least 50% of its percentage ownership in the Company as of the effective date of the A&amp;R Stockholders Agreement (“Original Ownership Percentage”), (ii) three directors if it retains at least 25% but less than 50% of its Original Ownership Percentage, (iii) two directors if it retains at least 10% but less than 25% of its Original Ownership Percentage and (iv) one director if it owns at least 3% of the issued and outstanding common stock on a fully diluted basis but less than 10% of its Original Ownership Percentage, in each case as of the date of determination. Pursuant to these rights, J.H. Whitney Capital Partners has designated Steven E. Rodgers and Bain Capital has designated Devin O’Reilly and Sam Weil. </w:t>
      </w:r>
    </w:p>
    <w:p>
      <w:pPr>
        <w:pStyle w:val="TextBody"/>
        <w:bidi w:val="0"/>
        <w:spacing w:before="240" w:after="0"/>
        <w:jc w:val="both"/>
        <w:rPr>
          <w:rFonts w:ascii="Times New Roman" w:hAnsi="Times New Roman"/>
          <w:sz w:val="20"/>
        </w:rPr>
      </w:pPr>
      <w:r>
        <w:rPr>
          <w:rFonts w:ascii="Times New Roman" w:hAnsi="Times New Roman"/>
          <w:sz w:val="20"/>
        </w:rPr>
        <w:t xml:space="preserve">In addition, under the A&amp;R Stockholders Agreement, the Company’s executive officers may only transfer shares of common stock of the Company to the extent that such transfer (a) is pre-approved by the Compensation Committee and (b) would not result in such executive officer being in non-compliance with the Company’s Stock Ownership Guidelines. Transfers made in connection with “sell to cover” or similar transactions intended to satisfy the exercise price or tax withholding obligations of equity awards held by an executive are exempt from the above-described restrictions on transfers. Parties to the A&amp;R Stockholders Agreement who are not Sponsor Affiliates or executive officers may transfer shares of common stock of the Company without restriction or the consent of any other person. </w:t>
      </w:r>
    </w:p>
    <w:p>
      <w:pPr>
        <w:pStyle w:val="TextBody"/>
        <w:bidi w:val="0"/>
        <w:spacing w:before="24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both"/>
        <w:rPr>
          <w:rFonts w:ascii="Times New Roman" w:hAnsi="Times New Roman"/>
          <w:sz w:val="20"/>
        </w:rPr>
      </w:pPr>
      <w:r>
        <w:rPr>
          <w:rFonts w:ascii="Times New Roman" w:hAnsi="Times New Roman"/>
          <w:sz w:val="20"/>
        </w:rPr>
        <w:t xml:space="preserve">Concurrently with the Original Stockholders Agreement, we entered into a registration rights agreement (the “Original Registration Rights Agreement”) with certain of the Investors. In connection with the consummation of the initial public offering, we amended and restated the Original Registration Rights Agreement (as so amended and restated, the “A&amp;R Registration Rights Agreement”). Pursuant to the A&amp;R Registration Rights Agreement, certain Sponsor Affiliates who hold more than 2% of registrable securities have the right to require us to file a registration statement with the SEC for the sale of our common stock, subject to certain exceptions. Such Sponsor Affiliates have the right to an unlimited number of such “demand” registrations. The Company is obligated to use its reasonable best efforts to file a resale “shelf” registration with the SEC and to take steps to keep such resale shelf registration effective until the earlier of (i) the date on which all the registrable securities included in such “shelf” registration have been sold, (ii) the date as of which there are no longer in existence any registrable securities covered by the shelf registration and (iii) an earlier date agreed to in writing by the majority holders of the Sponsor Affiliates. The Company will also be required to facilitate “takedown” offerings from the shelf upon demand by the Sponsor Affiliates. All holders of registrable securities party to the A&amp;R Registration Rights Agreement are entitled to certain “piggyback” registration rights in subsequent offerings. Such holders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entitled to notice of a registered offering and to have their shares included on a </w:t>
      </w:r>
      <w:r>
        <w:rPr>
          <w:rFonts w:ascii="Times New Roman" w:hAnsi="Times New Roman"/>
          <w:i/>
          <w:sz w:val="20"/>
        </w:rPr>
        <w:t xml:space="preserve">pro rata </w:t>
      </w:r>
      <w:r>
        <w:rPr>
          <w:rFonts w:ascii="Times New Roman" w:hAnsi="Times New Roman"/>
          <w:sz w:val="20"/>
        </w:rPr>
        <w:t xml:space="preserve">basis. The A&amp;R Registration Rights Agreement also provides that the Company will pay certain expenses of the holders party to the A&amp;R Registration Rights Agreement relating to the registrations and indemnify them against certain liabilities which may arise under the Securities Act of 1933, as amended, and other federal or state securities laws. On October 21, 2025, certain selling stockholders affiliated with J.H. Whitney Capital Partners sold 10,000,000 shares of the Company’s common stock in an underwritten offering and, on October 28, 2025, sold an additional 1,500,000 shares of the Company’s common stock following the full exercise of an over-allotment option. </w:t>
      </w:r>
    </w:p>
    <w:p>
      <w:pPr>
        <w:pStyle w:val="TextBody"/>
        <w:bidi w:val="0"/>
        <w:spacing w:before="240" w:after="0"/>
        <w:jc w:val="left"/>
        <w:rPr>
          <w:rFonts w:ascii="Times New Roman" w:hAnsi="Times New Roman"/>
          <w:b/>
          <w:sz w:val="20"/>
        </w:rPr>
      </w:pPr>
      <w:r>
        <w:rPr>
          <w:rFonts w:ascii="Times New Roman" w:hAnsi="Times New Roman"/>
          <w:b/>
          <w:sz w:val="20"/>
        </w:rPr>
        <w:t xml:space="preserve">Revenue Cycle Software Agreements </w:t>
      </w:r>
    </w:p>
    <w:p>
      <w:pPr>
        <w:pStyle w:val="TextBody"/>
        <w:bidi w:val="0"/>
        <w:spacing w:before="240" w:after="0"/>
        <w:jc w:val="both"/>
        <w:rPr>
          <w:rFonts w:ascii="Times New Roman" w:hAnsi="Times New Roman"/>
          <w:sz w:val="20"/>
        </w:rPr>
      </w:pPr>
      <w:r>
        <w:rPr>
          <w:rFonts w:ascii="Times New Roman" w:hAnsi="Times New Roman"/>
          <w:sz w:val="20"/>
        </w:rPr>
        <w:t xml:space="preserve">Certain of our subsidiaries are party to software agreements with ZirMed, Inc. d/b/a Waystar (“Waystar”), in which affiliates of Bain Capital, one of our Sponsors, held a controlling interest prior to October 2019 and currently hold a minority position. These agreements allow us to utilize certain Waystar software in the management of our business, including with respect to payment processing, patient claim management and patient denial and appeal management. For the fiscal year ended January 3, 2026, we paid Waystar approximately $0.4 million pursuant to these contracts. We believe that the terms obtained and consideration received in connection with these agreements are comparable to terms available and the amounts we would have exchanged in an arm’s length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Director and Officer Indemnification and Insurance </w:t>
      </w:r>
    </w:p>
    <w:p>
      <w:pPr>
        <w:pStyle w:val="TextBody"/>
        <w:bidi w:val="0"/>
        <w:spacing w:before="240" w:after="0"/>
        <w:jc w:val="both"/>
        <w:rPr>
          <w:rFonts w:ascii="Times New Roman" w:hAnsi="Times New Roman"/>
          <w:sz w:val="20"/>
        </w:rPr>
      </w:pPr>
      <w:r>
        <w:rPr>
          <w:rFonts w:ascii="Times New Roman" w:hAnsi="Times New Roman"/>
          <w:sz w:val="20"/>
        </w:rPr>
        <w:t xml:space="preserve">Our Amended Bylaws provide indemnification for our directors and officers to the fullest extent permitted by the Delaware General Corporation Law, subject to certain limited exceptions. We have entered into separate indemnification agreements with each of our directors and executive officers. We have also purchased directors’ and officers’ liability insurance for each of our directors and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798829_18"/>
      <w:bookmarkEnd w:id="19"/>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both"/>
        <w:rPr>
          <w:rFonts w:ascii="Times New Roman" w:hAnsi="Times New Roman"/>
          <w:sz w:val="20"/>
        </w:rPr>
      </w:pPr>
      <w:r>
        <w:rPr>
          <w:rFonts w:ascii="Times New Roman" w:hAnsi="Times New Roman"/>
          <w:sz w:val="20"/>
        </w:rPr>
        <w:t xml:space="preserve">All interested parties, including stockholders, may communicate with the Company or our Board by letter addressed to Aveanna Healthcare Holdings Inc., 400 Interstate North Parkway SE, Atlanta, GA 30339, Attention: Secretary or by e-mail to Investor Relations, ir@aveanna.com. Interested parties may also communicate with our Board by calling our Secretary at (770) 441-1580. This centralized process assists our Board in reviewing and responding to communications in an appropriate manner. If an interested party would like the letter to be forwarded directly to the Chairman, or if no Chairman is listed, the members of the standing committees of the Board of Directors, he or she should so indicate. If no specific direction is indicated, the Secretary of the Company will review the letter and forward it to the appropriate Board member(s). </w:t>
      </w:r>
    </w:p>
    <w:p>
      <w:pPr>
        <w:pStyle w:val="TextBody"/>
        <w:bidi w:val="0"/>
        <w:spacing w:before="240" w:after="0"/>
        <w:jc w:val="left"/>
        <w:rPr>
          <w:rFonts w:ascii="Times New Roman" w:hAnsi="Times New Roman"/>
          <w:b/>
          <w:sz w:val="20"/>
        </w:rPr>
      </w:pPr>
      <w:r>
        <w:rPr>
          <w:rFonts w:ascii="Times New Roman" w:hAnsi="Times New Roman"/>
          <w:b/>
          <w:sz w:val="20"/>
        </w:rPr>
        <w:t xml:space="preserve">Submission of Shareholder Proposals and Director Nominations for 2027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Pursuant to Rule 14a-8 under the Exchange Act, our stockholders may present proper proposals for inclusion in our proxy statement and form of proxy and for consideration at the next annual meeting by submitting their proposals to us in a timely manner. Any stockholder of the Company who wishes to present a proposal for inclusion in the proxy statement and form of proxy for action at the 2027 annual meeting of stockholders (the “2027 Annual Meeting”) must comply with our Amended Bylaws and the rules and regulations of the SEC, each as then in effect. Such proposals must be mailed to us at our offices at 400 Interstate North Parkway SE, Atlanta, GA 30339, Attention: Secretary. Under the rules of the SEC, any stockholder proposal intended to be presented at the 2027 Annual Meeting must be received no later than December 18, 2026 in order to be considered for inclusion in our proxy statement and form of proxy relating to such meeting. Under our Amended Bylaws, a stockholder must follow certain procedures to nominate persons for election as directors or to introduce an item of business at an annual meeting of stockholders. In order to be timely, we must receive notice of your intention to introduce a nomination or propose an item of business at our 2027 Annual Meeting between close of business on January 29, 2027 and close of business on February 26, 2027, provided however, if and only if the 2027 Annual Meeting is not scheduled to be held between April 29, 2026 and August 7, 2027, such stockholder’s notice must be delivered to our Secretary no earlier than the close of business on the 120th day prior to such annual meeting and not later than the close of business on the later of (A) the 90th day prior to such annual meeting or (B) the 10th day following the day on which public announcement of the date of the 2027 Annual Meeting is first made by the Company. The advance notice of the nomination of persons for election as directors or to introduce an item of business at an annual meeting of stockholders must contain certain information specified in our Amended Bylaws, including information concerning the nominee or item of business and the stockholder proponent. The foregoing description is only a summary of the advance notice requirements of our Amended Bylaws; please refer to the full text of our Amended Bylaws for additional information. In addition, for stockholder nominees for directors to be considered timely for inclusion on a universal proxy card pursuant to Rule 14a-19 under the Exchange Act, such Rule requires that stockholders provide notice to us no later than March 30, 2027, containing the information required by Rule 14a-19 under the Exchange Act; however, Rule 14a-19’s notice requirement does not override or supersede the longer notice period established by our Amended Bylaws, and the longer time period contained in our Amended Bylaws controls. </w:t>
      </w:r>
    </w:p>
    <w:p>
      <w:pPr>
        <w:pStyle w:val="TextBody"/>
        <w:bidi w:val="0"/>
        <w:spacing w:before="240" w:after="0"/>
        <w:jc w:val="both"/>
        <w:rPr>
          <w:rFonts w:ascii="Times New Roman" w:hAnsi="Times New Roman"/>
          <w:sz w:val="20"/>
        </w:rPr>
      </w:pPr>
      <w:r>
        <w:rPr>
          <w:rFonts w:ascii="Times New Roman" w:hAnsi="Times New Roman"/>
          <w:sz w:val="20"/>
        </w:rPr>
        <w:t xml:space="preserve">If a stockholder notifies us of an intent to present a proposal at the 2027 Annual Meeting at any time after February 26, 2027 (and for any reason the proposal is voted on at that meeting), it will be considered untimely and our proxy holders will have the right to exercise discretionary voting authority with respect to the proposal, if presented at the meeting, without including information regarding the proposal in our proxy materials. </w:t>
      </w:r>
    </w:p>
    <w:p>
      <w:pPr>
        <w:pStyle w:val="TextBody"/>
        <w:bidi w:val="0"/>
        <w:spacing w:before="240" w:after="0"/>
        <w:jc w:val="left"/>
        <w:rPr>
          <w:rFonts w:ascii="Times New Roman" w:hAnsi="Times New Roman"/>
          <w:b/>
          <w:sz w:val="20"/>
        </w:rPr>
      </w:pPr>
      <w:r>
        <w:rPr>
          <w:rFonts w:ascii="Times New Roman" w:hAnsi="Times New Roman"/>
          <w:b/>
          <w:sz w:val="20"/>
        </w:rPr>
        <w:t xml:space="preserve">Householding </w:t>
      </w:r>
    </w:p>
    <w:p>
      <w:pPr>
        <w:pStyle w:val="TextBody"/>
        <w:bidi w:val="0"/>
        <w:spacing w:before="240" w:after="0"/>
        <w:jc w:val="both"/>
        <w:rPr>
          <w:rFonts w:ascii="Times New Roman" w:hAnsi="Times New Roman"/>
          <w:sz w:val="20"/>
        </w:rPr>
      </w:pPr>
      <w:r>
        <w:rPr>
          <w:rFonts w:ascii="Times New Roman" w:hAnsi="Times New Roman"/>
          <w:sz w:val="20"/>
        </w:rPr>
        <w:t xml:space="preserve">We have adopted a procedure approved by the SEC called “householding.” Under this procedure, multiple stockholders who share the same last name and address will receive only one copy of the Notice or annual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materials and the 2025 Annual Report. If the household received a printed set of proxy materials and the 2025 Annual Report by mail, each stockholder will receive his or her own proxy card by mail. We have undertaken householding to reduce our printing costs and postage fees. </w:t>
      </w:r>
    </w:p>
    <w:p>
      <w:pPr>
        <w:pStyle w:val="TextBody"/>
        <w:bidi w:val="0"/>
        <w:spacing w:before="240" w:after="0"/>
        <w:jc w:val="both"/>
        <w:rPr>
          <w:rFonts w:ascii="Times New Roman" w:hAnsi="Times New Roman"/>
          <w:sz w:val="20"/>
        </w:rPr>
      </w:pPr>
      <w:r>
        <w:rPr>
          <w:rFonts w:ascii="Times New Roman" w:hAnsi="Times New Roman"/>
          <w:sz w:val="20"/>
        </w:rPr>
        <w:t xml:space="preserve">If you wish to opt out of householding and continue to receive multiple copies of the Notice or proxy materials and Annual Report at the same address or if you are receiving multiple copies of the Notice or proxy materials at the same address and wish to receive a single copy, you may do so at any time prior to thirty days before the mailing of the Notice or proxy materials, which typically are mailed in April of each year, by notifying us in writing at Aveanna Healthcare Holdings Inc., 400 Interstate North Parkway SE, Atlanta, GA 30339, Attention: Investor Relations, by phone at (770) 441-1580 or by e-mail at ir@aveanna.com. You also may request additional copies of the Notice or proxy materials and 2025 Annual Report by notifying us in writing or by telephone at the same addresses or telephone number, and we undertake to deliver such materials promptly. </w:t>
      </w:r>
    </w:p>
    <w:p>
      <w:pPr>
        <w:pStyle w:val="TextBody"/>
        <w:bidi w:val="0"/>
        <w:spacing w:before="240" w:after="0"/>
        <w:jc w:val="left"/>
        <w:rPr>
          <w:rFonts w:ascii="Times New Roman" w:hAnsi="Times New Roman"/>
          <w:b/>
          <w:sz w:val="20"/>
        </w:rPr>
      </w:pPr>
      <w:r>
        <w:rPr>
          <w:rFonts w:ascii="Times New Roman" w:hAnsi="Times New Roman"/>
          <w:b/>
          <w:sz w:val="20"/>
        </w:rPr>
        <w:t xml:space="preserve">Interest of Certain Persons in Matters to be Acted Upon </w:t>
      </w:r>
    </w:p>
    <w:p>
      <w:pPr>
        <w:pStyle w:val="TextBody"/>
        <w:bidi w:val="0"/>
        <w:spacing w:before="240" w:after="0"/>
        <w:jc w:val="both"/>
        <w:rPr>
          <w:rFonts w:ascii="Times New Roman" w:hAnsi="Times New Roman"/>
          <w:sz w:val="20"/>
        </w:rPr>
      </w:pPr>
      <w:r>
        <w:rPr>
          <w:rFonts w:ascii="Times New Roman" w:hAnsi="Times New Roman"/>
          <w:sz w:val="20"/>
        </w:rPr>
        <w:t xml:space="preserve">Other than for any interest arising from (i) the ownership of our common stock or (ii) any nominee’s election to office, we are not aware of any substantial interest of any director, executive officer, nominee for election as a director or associate of any of the foregoing in any matter to be acted upon at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Other Matters to be Presented for Action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Management is not aware of any other matters to be presented for action at the Meeting. However, if any other matter is properly presented at the Meeting or any adjournment thereof, it is the intention of the persons named in the enclosed proxy to vote in accordance with their best judgment on such matter. </w:t>
      </w:r>
    </w:p>
    <w:p>
      <w:pPr>
        <w:pStyle w:val="TextBody"/>
        <w:bidi w:val="0"/>
        <w:spacing w:before="240" w:after="0"/>
        <w:jc w:val="both"/>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Rodney D. Windley </w:t>
      </w:r>
    </w:p>
    <w:p>
      <w:pPr>
        <w:pStyle w:val="TextBody"/>
        <w:bidi w:val="0"/>
        <w:spacing w:before="240" w:after="0"/>
        <w:jc w:val="both"/>
        <w:rPr>
          <w:rFonts w:ascii="Times New Roman" w:hAnsi="Times New Roman"/>
          <w:sz w:val="20"/>
        </w:rPr>
      </w:pPr>
      <w:r>
        <w:rPr>
          <w:rFonts w:ascii="Times New Roman" w:hAnsi="Times New Roman"/>
          <w:sz w:val="20"/>
        </w:rPr>
        <w:t xml:space="preserve">Chairman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19925" cy="914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CORPORATE INFORMATION Board of Directors Rodney D. Windley 3 (chair), 5 Chairman of the Board, Aveanna Healthcare Holdings Inc. Former Executive Chairman of Aveanna Healthcare and Gentiva Health Services; former Board Member of the National Association for Home Care and Hospice (NAHC); and currently serves on various state Home Care Associations and other charitable organizations. Jeff Shaner 1, 3 Chief Executive Officer and Director, Aveanna Healthcare Holdings Inc. Victor F. Ganzi 2 (chair) Former President and Chief Executive Officer, The Hearst Corporation; Chairman Emeritus of the Board of PGA TOUR, Inc.; former Chairman of Willis Towers Watson; Member of the Board of Trustees of the Whitney Museum of American Art, as well as serves in leadership roles for other private and charitable organizations. Brent Layton 2 Former President and COO of Centene Corporation; former Chief Executive Officer of Sharecare, and now serving on the Board of Directors; serves as Chief Sales Officer, Healthy Together; serves as a board member for the Department of Natural Resources, State of Georgia, Wildlife Resources Committee, and the non-profit, City of Refuge. Devin O’Reilly 1, 3, 4 (chair) Partner and Head of the North America Healthcare Vertical, Bain Capital Private Equity; serves on the board of Surgery Partners, Inc., athenahealth, CitiusTech Healthcare Technology Private Limited, LeanTaaS, PartsSource, and Zelis. Steve E. Rodgers 2, 4 Managing Director of Morgan Stanley, member of the Investment Committee, Head of Healthcare Investing, and a Partner of Morgan Stanley Capital Partners; member of the Next Level Fund Investment Committee; serves on the board of SpendMend, U.S. HealthConnect and Prescott’s; serves on the board of Advisors to the Geisel School of Medicine at Dartmouth College and the Board of Advisors to the Magnuson Center for Entrepreneurship at Dartmouth College. Erica Schwartz, MD, JD, MPH 1 (chair) President, Insurance Solutions for United Healthcare; Former Deputy Surgeon General for the Department of Health and Human Services; serves as independent director of Butterfly Network. Sam Weil 4 Managing Director of the North America Healthcare Vertical, Bain Capital Private Equity; serves as a board observer of PCI Pharma Services, Kailera Therapeutics, and LeanTaaS. 1 Member of Clinical Quality and Compliance Committee 2 Member of Audit Committee 3 Member of Nominating and Corporate Governance Committee 4 Member of Compensation Committee 5 Chairman of the Board Common Stock Aveanna Healthcare Holdings Inc.’s Common Stock is publicly traded on The NASDAQ Global Select Market® (NASDAQ) under the symbol “AVAH” Independent Registered Public Accounting Firm Ernst &amp; Young LLP Shareholder Services Shareholders of record may contact Equiniti Trust Company, LLC (“EQ”) regarding stock accounts, transfers, address changes and related matters. Information and services are available by telephone Monday through Friday, 8am to 8pm Eastern Standard Time, at 1-800-401-1957 or 1-800-468-9716; on the EQ website at https://equiniti.com/us/contact-us/; or by mail at EQ Shareowner Services, PO Box 64874, St. Paul, MN 55164. Officers and Key Management Jeff Shaner Chief Executive Officer and Director Matt Buckhalter Chief Financial Officer Debbie Stewart Chief Accounting Officer Ed Reisz Chief Administrative Officer Jerry Perchik Chief Legal Officer and Secretary Patrick Cunningham Chief Compliance Officer Corporate Headquarters Aveanna Healthcare Holdings Inc. 400 Interstate North Parkway SE Suite 1600 Atlanta, GA 30339 Phone: 1.770.441.1580 aveanna.com Investor Information Extensive additional information on Aveanna may be found at the Company’s investor relations website, ir.aveanna.com. Corporate Compliance and Governance At Aveanna Healthcare, we are firmly committed to the highest standards of ethics, integrity, professionalism and compliance. Our compliance and ethics program includes auditing and monitoring, enhanced lines of communication between the chief compliance officer and employees, consistency in the standards we set for ethics and compliance, and increased awareness of these standards through a robust training and education program. In everything we do, our actions and decisions are aligned with our purpose, mission, and values. We are committed to doing the right thing every time — without exception. For more information on Aveanna’s Compliance programs, visit https://www.aveanna.com/compliance. Our business and affairs are managed under the direction of our Board of Directors. Our Board of Directors is presently composed of eight directors. In accordance with our Amended Charter, our Board of Directors is divided into three classes, as nearly equal in number as possible, with the directors in each class serving for a staggered three-year term and one class being elected at each annual meeting of stockholders. Aveanna is a company in which all employees of various cultures, walks of life, and abilities are valued, and we believe that each employee should have an equal opportunity for growth and success. By providing an environment of inclusion and engagement, we increase our organizational capacity to achieve our mission to revolutionize the way we deliver homecare – one patient at a time. All of our efforts have the common goal of preserving and cultivating our culture of corporate and social responsibility. The committees of our Board of Directors are composed of an Audit Committee, a Compensation Committee, a Nominating and Corporate Governance Committee, and a Clinical Quality and Compliance Committee. Each committee operates under a charter approved by our Board of Directors. For more information, visit https:// ir.aveanna.com/corporate-governance/committee-composition.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19925"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Aveanna is one of the nation’s preeminent providers of homecare. We are proud of our unique ability to deliver clinical excellence, value to our payors, and innovation to all those who depend on our services for healing, recovery, and ongoing treatment and care. PRIVATE DUTY HOME HEALTH MEDICAL SERVICES AND HOSPICE SOLUTIONS AVEANNA MISSION STATEMENT Our mission is to revolutionize the way homecare is delivered, one patient at a time. Aveanna Healthcare Holdings Inc. | 400 Interstate North Parkway SE, Suite 1600 | Atlanta, GA 30339 | 770.441.1580 | aveanna.com © 2026 Aveanna Healthcare, LLC. The Aveanna Heart Logo is a registered trademark of Aveanna Healthcare, LLC and its subsidiaries.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95" w:type="dxa"/>
        <w:jc w:val="left"/>
        <w:tblInd w:w="0" w:type="dxa"/>
        <w:tblLayout w:type="fixed"/>
        <w:tblCellMar>
          <w:top w:w="0" w:type="dxa"/>
          <w:left w:w="0" w:type="dxa"/>
          <w:bottom w:w="0" w:type="dxa"/>
          <w:right w:w="0" w:type="dxa"/>
        </w:tblCellMar>
      </w:tblPr>
      <w:tblGrid>
        <w:gridCol w:w="3245"/>
        <w:gridCol w:w="120"/>
        <w:gridCol w:w="603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3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866775"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66775" cy="485775"/>
                          </a:xfrm>
                          <a:prstGeom prst="rect">
                            <a:avLst/>
                          </a:prstGeom>
                        </pic:spPr>
                      </pic:pic>
                    </a:graphicData>
                  </a:graphic>
                </wp:inline>
              </w:drawing>
            </w:r>
            <w:r>
              <w:rPr/>
              <w:t xml:space="preserve"> </w:t>
            </w:r>
          </w:p>
          <w:p>
            <w:pPr>
              <w:pStyle w:val="TableContents"/>
              <w:bidi w:val="0"/>
              <w:spacing w:before="0" w:after="20"/>
              <w:jc w:val="left"/>
              <w:rPr>
                <w:rFonts w:ascii="Arial" w:hAnsi="Arial"/>
                <w:sz w:val="12"/>
              </w:rPr>
            </w:pPr>
            <w:r>
              <w:rPr>
                <w:rFonts w:ascii="Arial" w:hAnsi="Arial"/>
                <w:sz w:val="12"/>
              </w:rPr>
              <w:t>PROXY TABULATOR: P.O. BOX 8016, CARY, NC 27512-9903</w:t>
            </w:r>
          </w:p>
        </w:tc>
        <w:tc>
          <w:tcPr>
            <w:tcW w:w="120" w:type="dxa"/>
            <w:tcBorders/>
            <w:vAlign w:val="center"/>
          </w:tcPr>
          <w:p>
            <w:pPr>
              <w:pStyle w:val="TableContents"/>
              <w:bidi w:val="0"/>
              <w:spacing w:before="0" w:after="283"/>
              <w:jc w:val="left"/>
              <w:rPr/>
            </w:pPr>
            <w:r>
              <w:rPr/>
              <w:t>  </w:t>
            </w:r>
          </w:p>
        </w:tc>
        <w:tc>
          <w:tcPr>
            <w:tcW w:w="6030" w:type="dxa"/>
            <w:tcBorders/>
            <w:vAlign w:val="center"/>
          </w:tcPr>
          <w:p>
            <w:pPr>
              <w:pStyle w:val="TableContents"/>
              <w:bidi w:val="0"/>
              <w:spacing w:before="0" w:after="283"/>
              <w:jc w:val="left"/>
              <w:rPr/>
            </w:pPr>
            <w:r>
              <w:rPr/>
              <w:drawing>
                <wp:inline distT="0" distB="0" distL="0" distR="0">
                  <wp:extent cx="3781425" cy="2581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781425" cy="25812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27"/>
        <w:gridCol w:w="120"/>
        <w:gridCol w:w="623"/>
        <w:gridCol w:w="120"/>
        <w:gridCol w:w="110"/>
        <w:gridCol w:w="60"/>
        <w:gridCol w:w="3045"/>
      </w:tblGrid>
      <w:tr>
        <w:trPr/>
        <w:tc>
          <w:tcPr>
            <w:tcW w:w="61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6127" w:type="dxa"/>
            <w:tcBorders/>
            <w:vAlign w:val="center"/>
          </w:tcPr>
          <w:p>
            <w:pPr>
              <w:pStyle w:val="TableContents"/>
              <w:bidi w:val="0"/>
              <w:spacing w:before="0" w:after="283"/>
              <w:jc w:val="center"/>
              <w:rPr>
                <w:rFonts w:ascii="Arial" w:hAnsi="Arial"/>
                <w:b/>
                <w:color w:val="0077BC"/>
                <w:sz w:val="28"/>
              </w:rPr>
            </w:pPr>
            <w:r>
              <w:rPr>
                <w:rFonts w:ascii="Arial" w:hAnsi="Arial"/>
                <w:b/>
                <w:color w:val="0077BC"/>
                <w:sz w:val="28"/>
              </w:rPr>
              <w:t>Aveanna Healthcare Holdings Inc.</w:t>
            </w:r>
          </w:p>
        </w:tc>
        <w:tc>
          <w:tcPr>
            <w:tcW w:w="12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15" w:type="dxa"/>
            <w:gridSpan w:val="3"/>
            <w:tcBorders/>
            <w:vAlign w:val="center"/>
          </w:tcPr>
          <w:p>
            <w:pPr>
              <w:pStyle w:val="TableContents"/>
              <w:bidi w:val="0"/>
              <w:spacing w:before="0" w:after="0"/>
              <w:jc w:val="left"/>
              <w:rPr>
                <w:rFonts w:ascii="Arial" w:hAnsi="Arial"/>
                <w:b/>
                <w:color w:val="0077BC"/>
                <w:sz w:val="20"/>
              </w:rPr>
            </w:pPr>
            <w:r>
              <w:rPr>
                <w:rFonts w:ascii="Arial" w:hAnsi="Arial"/>
                <w:b/>
                <w:color w:val="0077BC"/>
                <w:sz w:val="20"/>
              </w:rPr>
              <w:t>Internet:</w:t>
            </w:r>
          </w:p>
        </w:tc>
      </w:tr>
      <w:tr>
        <w:trPr/>
        <w:tc>
          <w:tcPr>
            <w:tcW w:w="6127" w:type="dxa"/>
            <w:vMerge w:val="restart"/>
            <w:tcBorders/>
            <w:vAlign w:val="center"/>
          </w:tcPr>
          <w:p>
            <w:pPr>
              <w:pStyle w:val="TableContents"/>
              <w:bidi w:val="0"/>
              <w:spacing w:before="0" w:after="283"/>
              <w:jc w:val="center"/>
              <w:rPr/>
            </w:pPr>
            <w:r>
              <w:rPr/>
              <w:drawing>
                <wp:inline distT="0" distB="0" distL="0" distR="0">
                  <wp:extent cx="384810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848100" cy="45720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623" w:type="dxa"/>
            <w:vMerge w:val="restart"/>
            <w:tcBorders/>
            <w:vAlign w:val="center"/>
          </w:tcPr>
          <w:p>
            <w:pPr>
              <w:pStyle w:val="TableContents"/>
              <w:bidi w:val="0"/>
              <w:spacing w:before="0" w:after="283"/>
              <w:jc w:val="center"/>
              <w:rPr/>
            </w:pPr>
            <w:r>
              <w:rPr/>
              <w:drawing>
                <wp:inline distT="0" distB="0" distL="0" distR="0">
                  <wp:extent cx="390525" cy="333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90525" cy="3333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215" w:type="dxa"/>
            <w:gridSpan w:val="3"/>
            <w:tcBorders/>
            <w:vAlign w:val="center"/>
          </w:tcPr>
          <w:p>
            <w:pPr>
              <w:pStyle w:val="TableContents"/>
              <w:bidi w:val="0"/>
              <w:spacing w:before="0" w:after="283"/>
              <w:jc w:val="left"/>
              <w:rPr>
                <w:rFonts w:ascii="Arial" w:hAnsi="Arial"/>
                <w:b/>
                <w:color w:val="06866B"/>
              </w:rPr>
            </w:pPr>
            <w:r>
              <w:rPr>
                <w:rFonts w:ascii="Arial" w:hAnsi="Arial"/>
                <w:b/>
                <w:color w:val="06866B"/>
              </w:rPr>
              <w:t>www.proxypush.com/AVAH</w:t>
            </w:r>
          </w:p>
        </w:tc>
      </w:tr>
      <w:tr>
        <w:trPr/>
        <w:tc>
          <w:tcPr>
            <w:tcW w:w="612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rFonts w:ascii="Arial" w:hAnsi="Arial"/>
              </w:rPr>
            </w:pPr>
            <w:r>
              <w:rPr>
                <w:rFonts w:ascii="Arial" w:hAnsi="Arial"/>
              </w:rPr>
              <w:t>Cast your vote online</w:t>
            </w:r>
          </w:p>
        </w:tc>
      </w:tr>
      <w:tr>
        <w:trPr/>
        <w:tc>
          <w:tcPr>
            <w:tcW w:w="612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rFonts w:ascii="Arial" w:hAnsi="Arial"/>
                <w:b/>
              </w:rPr>
            </w:pPr>
            <w:r>
              <w:rPr>
                <w:rFonts w:ascii="Arial" w:hAnsi="Arial"/>
                <w:b/>
              </w:rPr>
              <w:t>Have your Proxy Card ready</w:t>
            </w:r>
          </w:p>
        </w:tc>
      </w:tr>
      <w:tr>
        <w:trPr/>
        <w:tc>
          <w:tcPr>
            <w:tcW w:w="612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rFonts w:ascii="Arial" w:hAnsi="Arial"/>
              </w:rPr>
            </w:pPr>
            <w:r>
              <w:rPr>
                <w:rFonts w:ascii="Arial" w:hAnsi="Arial"/>
              </w:rPr>
              <w:t>Follow the simple instructions to record your vote</w:t>
            </w:r>
          </w:p>
        </w:tc>
      </w:tr>
      <w:tr>
        <w:trPr/>
        <w:tc>
          <w:tcPr>
            <w:tcW w:w="6127" w:type="dxa"/>
            <w:vMerge w:val="restart"/>
            <w:tcBorders/>
            <w:vAlign w:val="center"/>
          </w:tcPr>
          <w:p>
            <w:pPr>
              <w:pStyle w:val="TableContents"/>
              <w:bidi w:val="0"/>
              <w:spacing w:before="0" w:after="0"/>
              <w:jc w:val="center"/>
              <w:rPr>
                <w:rFonts w:ascii="Arial" w:hAnsi="Arial"/>
                <w:sz w:val="18"/>
              </w:rPr>
            </w:pPr>
            <w:r>
              <w:rPr>
                <w:rFonts w:ascii="Arial" w:hAnsi="Arial"/>
                <w:sz w:val="18"/>
              </w:rPr>
              <w:t>For Stockholders of record as of April 6, 2026</w:t>
            </w:r>
          </w:p>
          <w:p>
            <w:pPr>
              <w:pStyle w:val="TableContents"/>
              <w:bidi w:val="0"/>
              <w:spacing w:before="0" w:after="0"/>
              <w:jc w:val="left"/>
              <w:rPr/>
            </w:pPr>
            <w:r>
              <w:rPr/>
              <w:t> </w:t>
            </w:r>
          </w:p>
          <w:p>
            <w:pPr>
              <w:pStyle w:val="TableContents"/>
              <w:bidi w:val="0"/>
              <w:spacing w:before="0" w:after="0"/>
              <w:jc w:val="center"/>
              <w:rPr>
                <w:rFonts w:ascii="Arial" w:hAnsi="Arial"/>
                <w:color w:val="0077BC"/>
                <w:sz w:val="18"/>
              </w:rPr>
            </w:pPr>
            <w:r>
              <w:rPr>
                <w:rFonts w:ascii="Arial" w:hAnsi="Arial"/>
                <w:color w:val="0077BC"/>
                <w:sz w:val="18"/>
              </w:rPr>
              <w:t>Friday, May 29, 2026 9:30 AM, Eastern Time</w:t>
            </w:r>
          </w:p>
          <w:p>
            <w:pPr>
              <w:pStyle w:val="TableContents"/>
              <w:bidi w:val="0"/>
              <w:spacing w:before="0" w:after="0"/>
              <w:jc w:val="left"/>
              <w:rPr/>
            </w:pPr>
            <w:r>
              <w:rPr/>
              <w:t> </w:t>
            </w:r>
          </w:p>
          <w:p>
            <w:pPr>
              <w:pStyle w:val="TableContents"/>
              <w:bidi w:val="0"/>
              <w:spacing w:before="0" w:after="0"/>
              <w:jc w:val="center"/>
              <w:rPr>
                <w:rFonts w:ascii="Arial" w:hAnsi="Arial"/>
                <w:color w:val="0077BC"/>
                <w:sz w:val="18"/>
              </w:rPr>
            </w:pPr>
            <w:r>
              <w:rPr>
                <w:rFonts w:ascii="Arial" w:hAnsi="Arial"/>
                <w:color w:val="0077BC"/>
                <w:sz w:val="18"/>
              </w:rPr>
              <w:t>400 Interstate North Parkway, Suite 1600, Atlanta, GA. 30339</w:t>
            </w:r>
          </w:p>
          <w:p>
            <w:pPr>
              <w:pStyle w:val="TableContents"/>
              <w:pBdr>
                <w:bottom w:val="single" w:sz="2" w:space="1" w:color="0077BC"/>
              </w:pBdr>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623" w:type="dxa"/>
            <w:vMerge w:val="restart"/>
            <w:tcBorders/>
            <w:vAlign w:val="center"/>
          </w:tcPr>
          <w:p>
            <w:pPr>
              <w:pStyle w:val="TableContents"/>
              <w:bidi w:val="0"/>
              <w:spacing w:before="0" w:after="283"/>
              <w:jc w:val="center"/>
              <w:rPr/>
            </w:pPr>
            <w:r>
              <w:rPr/>
              <w:drawing>
                <wp:inline distT="0" distB="0" distL="0" distR="0">
                  <wp:extent cx="257175"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7175" cy="3810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215" w:type="dxa"/>
            <w:gridSpan w:val="3"/>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7BC"/>
                <w:sz w:val="20"/>
              </w:rPr>
            </w:pPr>
            <w:r>
              <w:rPr>
                <w:rFonts w:ascii="Arial" w:hAnsi="Arial"/>
                <w:b/>
                <w:color w:val="0077BC"/>
                <w:sz w:val="20"/>
              </w:rPr>
              <w:t>Phone:</w:t>
            </w:r>
          </w:p>
        </w:tc>
      </w:tr>
      <w:tr>
        <w:trPr/>
        <w:tc>
          <w:tcPr>
            <w:tcW w:w="612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3215" w:type="dxa"/>
            <w:gridSpan w:val="3"/>
            <w:tcBorders/>
            <w:vAlign w:val="center"/>
          </w:tcPr>
          <w:p>
            <w:pPr>
              <w:pStyle w:val="TableContents"/>
              <w:bidi w:val="0"/>
              <w:spacing w:before="0" w:after="283"/>
              <w:jc w:val="left"/>
              <w:rPr>
                <w:rFonts w:ascii="Arial" w:hAnsi="Arial"/>
                <w:b/>
                <w:color w:val="06866B"/>
                <w:sz w:val="16"/>
              </w:rPr>
            </w:pPr>
            <w:r>
              <w:rPr>
                <w:rFonts w:ascii="Arial" w:hAnsi="Arial"/>
                <w:b/>
                <w:color w:val="06866B"/>
                <w:sz w:val="16"/>
              </w:rPr>
              <w:t>1-866-460-4193</w:t>
            </w:r>
          </w:p>
        </w:tc>
      </w:tr>
      <w:tr>
        <w:trPr/>
        <w:tc>
          <w:tcPr>
            <w:tcW w:w="612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rFonts w:ascii="Arial" w:hAnsi="Arial"/>
              </w:rPr>
            </w:pPr>
            <w:r>
              <w:rPr>
                <w:rFonts w:ascii="Arial" w:hAnsi="Arial"/>
              </w:rPr>
              <w:t>Use any touch-tone telephone</w:t>
            </w:r>
          </w:p>
        </w:tc>
      </w:tr>
      <w:tr>
        <w:trPr/>
        <w:tc>
          <w:tcPr>
            <w:tcW w:w="612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rFonts w:ascii="Arial" w:hAnsi="Arial"/>
                <w:b/>
              </w:rPr>
            </w:pPr>
            <w:r>
              <w:rPr>
                <w:rFonts w:ascii="Arial" w:hAnsi="Arial"/>
                <w:b/>
              </w:rPr>
              <w:t>Have your Proxy Card ready</w:t>
            </w:r>
          </w:p>
        </w:tc>
      </w:tr>
      <w:tr>
        <w:trPr/>
        <w:tc>
          <w:tcPr>
            <w:tcW w:w="612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rFonts w:ascii="Arial" w:hAnsi="Arial"/>
              </w:rPr>
            </w:pPr>
            <w:r>
              <w:rPr>
                <w:rFonts w:ascii="Arial" w:hAnsi="Arial"/>
              </w:rPr>
              <w:t>Follow the simple recorded instructions</w:t>
            </w:r>
          </w:p>
        </w:tc>
      </w:tr>
      <w:tr>
        <w:trPr/>
        <w:tc>
          <w:tcPr>
            <w:tcW w:w="6127" w:type="dxa"/>
            <w:tcBorders/>
            <w:vAlign w:val="center"/>
          </w:tcPr>
          <w:p>
            <w:pPr>
              <w:pStyle w:val="TableContents"/>
              <w:bidi w:val="0"/>
              <w:spacing w:before="0" w:after="283"/>
              <w:jc w:val="left"/>
              <w:rPr>
                <w:sz w:val="4"/>
                <w:szCs w:val="4"/>
              </w:rPr>
            </w:pPr>
            <w:r>
              <w:rPr>
                <w:sz w:val="4"/>
                <w:szCs w:val="4"/>
              </w:rPr>
            </w:r>
          </w:p>
        </w:tc>
        <w:tc>
          <w:tcPr>
            <w:tcW w:w="120" w:type="dxa"/>
            <w:vMerge w:val="restart"/>
            <w:tcBorders/>
            <w:vAlign w:val="center"/>
          </w:tcPr>
          <w:p>
            <w:pPr>
              <w:pStyle w:val="TableContents"/>
              <w:bidi w:val="0"/>
              <w:spacing w:before="0" w:after="283"/>
              <w:jc w:val="left"/>
              <w:rPr/>
            </w:pPr>
            <w:r>
              <w:rPr/>
              <w:t>  </w:t>
            </w:r>
          </w:p>
        </w:tc>
        <w:tc>
          <w:tcPr>
            <w:tcW w:w="623" w:type="dxa"/>
            <w:vMerge w:val="restart"/>
            <w:tcBorders/>
            <w:vAlign w:val="center"/>
          </w:tcPr>
          <w:p>
            <w:pPr>
              <w:pStyle w:val="TableContents"/>
              <w:bidi w:val="0"/>
              <w:spacing w:before="0" w:after="283"/>
              <w:jc w:val="center"/>
              <w:rPr/>
            </w:pPr>
            <w:r>
              <w:rPr/>
              <w:drawing>
                <wp:inline distT="0" distB="0" distL="0" distR="0">
                  <wp:extent cx="371475" cy="37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71475" cy="3714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215" w:type="dxa"/>
            <w:gridSpan w:val="3"/>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0077BC"/>
                <w:sz w:val="20"/>
              </w:rPr>
            </w:pPr>
            <w:r>
              <w:rPr>
                <w:rFonts w:ascii="Arial" w:hAnsi="Arial"/>
                <w:b/>
                <w:color w:val="0077BC"/>
                <w:sz w:val="20"/>
              </w:rPr>
              <w:t>Mail:</w:t>
            </w:r>
          </w:p>
        </w:tc>
      </w:tr>
      <w:tr>
        <w:trPr/>
        <w:tc>
          <w:tcPr>
            <w:tcW w:w="6127"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rFonts w:ascii="Arial" w:hAnsi="Arial"/>
              </w:rPr>
            </w:pPr>
            <w:r>
              <w:rPr>
                <w:rFonts w:ascii="Arial" w:hAnsi="Arial"/>
              </w:rPr>
              <w:t>Mark, sign and date your Proxy Card</w:t>
            </w:r>
          </w:p>
        </w:tc>
      </w:tr>
      <w:tr>
        <w:trPr/>
        <w:tc>
          <w:tcPr>
            <w:tcW w:w="6127" w:type="dxa"/>
            <w:tcBorders/>
            <w:vAlign w:val="center"/>
          </w:tcPr>
          <w:p>
            <w:pPr>
              <w:pStyle w:val="TableContents"/>
              <w:bidi w:val="0"/>
              <w:spacing w:before="0" w:after="283"/>
              <w:jc w:val="center"/>
              <w:rPr>
                <w:rFonts w:ascii="Arial" w:hAnsi="Arial"/>
                <w:b/>
                <w:sz w:val="20"/>
              </w:rPr>
            </w:pPr>
            <w:r>
              <w:rPr>
                <w:rFonts w:ascii="Arial" w:hAnsi="Arial"/>
                <w:b/>
                <w:sz w:val="20"/>
              </w:rPr>
              <w:t>YOUR VOTE IS IMPORTANT!</w:t>
            </w:r>
          </w:p>
        </w:tc>
        <w:tc>
          <w:tcPr>
            <w:tcW w:w="120" w:type="dxa"/>
            <w:vMerge w:val="continue"/>
            <w:tcBorders/>
            <w:vAlign w:val="center"/>
          </w:tcPr>
          <w:p>
            <w:pPr>
              <w:pStyle w:val="Normal"/>
              <w:bidi w:val="0"/>
              <w:jc w:val="left"/>
              <w:rPr/>
            </w:pPr>
            <w:r>
              <w:rPr/>
            </w:r>
          </w:p>
        </w:tc>
        <w:tc>
          <w:tcPr>
            <w:tcW w:w="62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rFonts w:ascii="Arial" w:hAnsi="Arial"/>
              </w:rPr>
            </w:pPr>
            <w:r>
              <w:rPr>
                <w:rFonts w:ascii="Arial" w:hAnsi="Arial"/>
              </w:rPr>
              <w:t>Fold and return your Proxy Card in the postage-paid envelope provided</w:t>
            </w:r>
          </w:p>
        </w:tc>
      </w:tr>
      <w:tr>
        <w:trPr/>
        <w:tc>
          <w:tcPr>
            <w:tcW w:w="6127" w:type="dxa"/>
            <w:tcBorders/>
            <w:vAlign w:val="center"/>
          </w:tcPr>
          <w:p>
            <w:pPr>
              <w:pStyle w:val="TableContents"/>
              <w:bidi w:val="0"/>
              <w:spacing w:before="0" w:after="283"/>
              <w:jc w:val="center"/>
              <w:rPr>
                <w:rFonts w:ascii="Arial" w:hAnsi="Arial"/>
                <w:b/>
              </w:rPr>
            </w:pPr>
            <w:r>
              <w:rPr>
                <w:rFonts w:ascii="Arial" w:hAnsi="Arial"/>
                <w:b/>
              </w:rPr>
              <w:t>PLEASE VOTE BY: 9:30 AM, Eastern Time, May 29, 2026.</w:t>
            </w:r>
          </w:p>
        </w:tc>
        <w:tc>
          <w:tcPr>
            <w:tcW w:w="120"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color w:val="0077BC"/>
          <w:sz w:val="20"/>
        </w:rPr>
      </w:pPr>
      <w:r>
        <w:rPr>
          <w:rFonts w:ascii="Arial" w:hAnsi="Arial"/>
          <w:b/>
          <w:color w:val="0077BC"/>
          <w:sz w:val="20"/>
        </w:rPr>
        <w:t xml:space="preserve">This proxy is being solicited on behalf of the Board of Directors </w:t>
      </w:r>
    </w:p>
    <w:p>
      <w:pPr>
        <w:pStyle w:val="TextBody"/>
        <w:bidi w:val="0"/>
        <w:spacing w:before="120" w:after="0"/>
        <w:jc w:val="left"/>
        <w:rPr>
          <w:rFonts w:ascii="Arial" w:hAnsi="Arial"/>
          <w:sz w:val="16"/>
        </w:rPr>
      </w:pPr>
      <w:r>
        <w:rPr>
          <w:rFonts w:ascii="Arial" w:hAnsi="Arial"/>
          <w:sz w:val="16"/>
        </w:rPr>
        <w:t xml:space="preserve">The undersigned hereby appoints Rodney D. Windley and Jeff Shaner (the “Named Proxies”), and each or either of them, as the true and lawful attorneys of the undersigned, with full power of substitution and revocation, and authorizes them, and each of them, to vote all the shares of capital stock of Aveanna Healthcare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b/>
          <w:sz w:val="16"/>
        </w:rPr>
        <w:t>THE SHARES REPRESENTED BY THIS PROXY WILL BE VOTED AS DIRECTED OR, IF NO DIRECTION IS GIVEN, SHARES WILL BE VOTED IDENTICAL TO THE BOARD OF DIRECTORS RECOMMENDATION.</w:t>
      </w:r>
      <w:r>
        <w:rPr>
          <w:rFonts w:ascii="Arial" w:hAnsi="Arial"/>
          <w:sz w:val="16"/>
        </w:rPr>
        <w:t xml:space="preserve">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24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rFonts w:ascii="Arial" w:hAnsi="Arial"/>
          <w:sz w:val="20"/>
        </w:rPr>
      </w:pPr>
      <w:r>
        <w:rPr>
          <w:rFonts w:ascii="Arial" w:hAnsi="Arial"/>
          <w:sz w:val="20"/>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185" w:type="dxa"/>
        <w:jc w:val="left"/>
        <w:tblInd w:w="0" w:type="dxa"/>
        <w:tblLayout w:type="fixed"/>
        <w:tblCellMar>
          <w:top w:w="0" w:type="dxa"/>
          <w:left w:w="0" w:type="dxa"/>
          <w:bottom w:w="0" w:type="dxa"/>
          <w:right w:w="0" w:type="dxa"/>
        </w:tblCellMar>
      </w:tblPr>
      <w:tblGrid>
        <w:gridCol w:w="1440"/>
        <w:gridCol w:w="120"/>
        <w:gridCol w:w="7625"/>
      </w:tblGrid>
      <w:tr>
        <w:trPr/>
        <w:tc>
          <w:tcPr>
            <w:tcW w:w="1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440" w:type="dxa"/>
            <w:tcBorders/>
            <w:vAlign w:val="center"/>
          </w:tcPr>
          <w:p>
            <w:pPr>
              <w:pStyle w:val="TableContents"/>
              <w:bidi w:val="0"/>
              <w:spacing w:before="0" w:after="283"/>
              <w:jc w:val="left"/>
              <w:rPr/>
            </w:pPr>
            <w:r>
              <w:rPr/>
              <w:drawing>
                <wp:inline distT="0" distB="0" distL="0" distR="0">
                  <wp:extent cx="866775" cy="485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66775" cy="4857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right"/>
              <w:rPr>
                <w:rFonts w:ascii="Arial" w:hAnsi="Arial"/>
                <w:b/>
                <w:color w:val="0077BC"/>
              </w:rPr>
            </w:pPr>
            <w:r>
              <w:rPr>
                <w:rFonts w:ascii="Arial" w:hAnsi="Arial"/>
                <w:b/>
                <w:color w:val="0077BC"/>
              </w:rPr>
              <w:t>Aveanna Healthcare Holdings Inc. Annual Meeting of Stockholders</w:t>
            </w:r>
          </w:p>
        </w:tc>
      </w:tr>
    </w:tbl>
    <w:p>
      <w:pPr>
        <w:pStyle w:val="TextBody"/>
        <w:bidi w:val="0"/>
        <w:spacing w:before="0" w:after="0"/>
        <w:jc w:val="left"/>
        <w:rPr/>
      </w:pPr>
      <w:r>
        <w:rPr/>
        <w:t> </w:t>
      </w:r>
    </w:p>
    <w:tbl>
      <w:tblPr>
        <w:tblW w:w="3163" w:type="dxa"/>
        <w:jc w:val="left"/>
        <w:tblInd w:w="0" w:type="dxa"/>
        <w:tblLayout w:type="fixed"/>
        <w:tblCellMar>
          <w:top w:w="0" w:type="dxa"/>
          <w:left w:w="0" w:type="dxa"/>
          <w:bottom w:w="0" w:type="dxa"/>
          <w:right w:w="0" w:type="dxa"/>
        </w:tblCellMar>
      </w:tblPr>
      <w:tblGrid>
        <w:gridCol w:w="2660"/>
        <w:gridCol w:w="60"/>
        <w:gridCol w:w="345"/>
        <w:gridCol w:w="60"/>
        <w:gridCol w:w="38"/>
      </w:tblGrid>
      <w:tr>
        <w:trPr/>
        <w:tc>
          <w:tcPr>
            <w:tcW w:w="2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rFonts w:ascii="Arial" w:hAnsi="Arial"/>
                <w:b/>
                <w:sz w:val="16"/>
              </w:rPr>
            </w:pPr>
            <w:r>
              <w:rPr>
                <w:rFonts w:ascii="Arial" w:hAnsi="Arial"/>
                <w:b/>
                <w:sz w:val="16"/>
              </w:rPr>
              <w:t>Please make your marks like this:</w:t>
            </w:r>
          </w:p>
        </w:tc>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pPr>
            <w:r>
              <w:rPr/>
              <w:drawing>
                <wp:inline distT="0" distB="0" distL="0" distR="0">
                  <wp:extent cx="180975" cy="1809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80975" cy="1809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Arial" w:hAnsi="Arial"/>
          <w:b/>
          <w:sz w:val="16"/>
        </w:rPr>
      </w:pPr>
      <w:r>
        <w:rPr>
          <w:rFonts w:ascii="Arial" w:hAnsi="Arial"/>
          <w:b/>
          <w:sz w:val="16"/>
        </w:rPr>
        <w:t xml:space="preserve">THE BOARD OF DIRECTORS RECOMMENDS A VOTE: </w:t>
      </w:r>
    </w:p>
    <w:p>
      <w:pPr>
        <w:pStyle w:val="TextBody"/>
        <w:bidi w:val="0"/>
        <w:spacing w:before="0" w:after="0"/>
        <w:jc w:val="left"/>
        <w:rPr>
          <w:rFonts w:ascii="Arial" w:hAnsi="Arial"/>
          <w:sz w:val="16"/>
        </w:rPr>
      </w:pPr>
      <w:r>
        <w:rPr>
          <w:rFonts w:ascii="Arial" w:hAnsi="Arial"/>
          <w:b/>
          <w:sz w:val="16"/>
        </w:rPr>
        <w:t xml:space="preserve">FOR </w:t>
      </w:r>
      <w:r>
        <w:rPr>
          <w:rFonts w:ascii="Arial" w:hAnsi="Arial"/>
          <w:sz w:val="16"/>
        </w:rPr>
        <w:t xml:space="preserve">ON PROPOSALS 1, 2 AND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7"/>
        <w:gridCol w:w="120"/>
        <w:gridCol w:w="5564"/>
        <w:gridCol w:w="120"/>
        <w:gridCol w:w="530"/>
        <w:gridCol w:w="120"/>
        <w:gridCol w:w="1325"/>
        <w:gridCol w:w="120"/>
        <w:gridCol w:w="813"/>
        <w:gridCol w:w="120"/>
        <w:gridCol w:w="1236"/>
      </w:tblGrid>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137"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5564" w:type="dxa"/>
            <w:tcBorders/>
            <w:shd w:fill="D8D8D8" w:val="clear"/>
            <w:vAlign w:val="center"/>
          </w:tcPr>
          <w:p>
            <w:pPr>
              <w:pStyle w:val="TableContents"/>
              <w:bidi w:val="0"/>
              <w:spacing w:before="0" w:after="0"/>
              <w:jc w:val="left"/>
              <w:rPr>
                <w:rFonts w:ascii="Arial" w:hAnsi="Arial"/>
                <w:b/>
                <w:sz w:val="16"/>
              </w:rPr>
            </w:pPr>
            <w:r>
              <w:rPr>
                <w:rFonts w:ascii="Arial" w:hAnsi="Arial"/>
                <w:b/>
                <w:sz w:val="16"/>
              </w:rPr>
              <w:t>PROPOSAL</w:t>
            </w:r>
          </w:p>
          <w:p>
            <w:pPr>
              <w:pStyle w:val="TableContents"/>
              <w:bidi w:val="0"/>
              <w:spacing w:before="0" w:after="20"/>
              <w:jc w:val="left"/>
              <w:rPr/>
            </w:pPr>
            <w:r>
              <w:rPr/>
              <w:t> </w:t>
            </w:r>
          </w:p>
        </w:tc>
        <w:tc>
          <w:tcPr>
            <w:tcW w:w="120" w:type="dxa"/>
            <w:tcBorders/>
            <w:shd w:fill="D8D8D8" w:val="clear"/>
            <w:vAlign w:val="center"/>
          </w:tcPr>
          <w:p>
            <w:pPr>
              <w:pStyle w:val="TableContents"/>
              <w:bidi w:val="0"/>
              <w:spacing w:before="0" w:after="283"/>
              <w:jc w:val="left"/>
              <w:rPr/>
            </w:pPr>
            <w:r>
              <w:rPr/>
              <w:t>  </w:t>
            </w:r>
          </w:p>
        </w:tc>
        <w:tc>
          <w:tcPr>
            <w:tcW w:w="530" w:type="dxa"/>
            <w:tcBorders/>
            <w:shd w:fill="D8D8D8" w:val="clear"/>
            <w:vAlign w:val="center"/>
          </w:tcPr>
          <w:p>
            <w:pPr>
              <w:pStyle w:val="TableContents"/>
              <w:bidi w:val="0"/>
              <w:spacing w:before="0" w:after="283"/>
              <w:jc w:val="left"/>
              <w:rPr/>
            </w:pPr>
            <w:r>
              <w:rPr/>
              <w:t> </w:t>
            </w:r>
          </w:p>
        </w:tc>
        <w:tc>
          <w:tcPr>
            <w:tcW w:w="120" w:type="dxa"/>
            <w:tcBorders/>
            <w:shd w:fill="D8D8D8" w:val="clear"/>
            <w:vAlign w:val="center"/>
          </w:tcPr>
          <w:p>
            <w:pPr>
              <w:pStyle w:val="TableContents"/>
              <w:bidi w:val="0"/>
              <w:spacing w:before="0" w:after="283"/>
              <w:jc w:val="left"/>
              <w:rPr/>
            </w:pPr>
            <w:r>
              <w:rPr/>
              <w:t>  </w:t>
            </w:r>
          </w:p>
        </w:tc>
        <w:tc>
          <w:tcPr>
            <w:tcW w:w="1325" w:type="dxa"/>
            <w:tcBorders/>
            <w:shd w:fill="D8D8D8" w:val="clear"/>
            <w:vAlign w:val="center"/>
          </w:tcPr>
          <w:p>
            <w:pPr>
              <w:pStyle w:val="TableContents"/>
              <w:bidi w:val="0"/>
              <w:spacing w:before="0" w:after="0"/>
              <w:jc w:val="center"/>
              <w:rPr>
                <w:rFonts w:ascii="Arial" w:hAnsi="Arial"/>
                <w:b/>
                <w:sz w:val="16"/>
              </w:rPr>
            </w:pPr>
            <w:r>
              <w:rPr>
                <w:rFonts w:ascii="Arial" w:hAnsi="Arial"/>
                <w:b/>
                <w:sz w:val="16"/>
              </w:rPr>
              <w:t>YOUR VOTE</w:t>
            </w:r>
          </w:p>
          <w:p>
            <w:pPr>
              <w:pStyle w:val="TableContents"/>
              <w:bidi w:val="0"/>
              <w:spacing w:before="0" w:after="20"/>
              <w:jc w:val="left"/>
              <w:rPr/>
            </w:pPr>
            <w:r>
              <w:rPr/>
              <w:t> </w:t>
            </w:r>
          </w:p>
        </w:tc>
        <w:tc>
          <w:tcPr>
            <w:tcW w:w="120" w:type="dxa"/>
            <w:tcBorders/>
            <w:shd w:fill="D8D8D8" w:val="clear"/>
            <w:vAlign w:val="center"/>
          </w:tcPr>
          <w:p>
            <w:pPr>
              <w:pStyle w:val="TableContents"/>
              <w:bidi w:val="0"/>
              <w:spacing w:before="0" w:after="283"/>
              <w:jc w:val="left"/>
              <w:rPr/>
            </w:pPr>
            <w:r>
              <w:rPr/>
              <w:t>  </w:t>
            </w:r>
          </w:p>
        </w:tc>
        <w:tc>
          <w:tcPr>
            <w:tcW w:w="813" w:type="dxa"/>
            <w:tcBorders>
              <w:right w:val="single" w:sz="6" w:space="0" w:color="7F7F7F"/>
            </w:tcBorders>
            <w:shd w:fill="D8D8D8" w:val="clear"/>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0"/>
              <w:jc w:val="center"/>
              <w:rPr>
                <w:rFonts w:ascii="Arial" w:hAnsi="Arial"/>
                <w:b/>
                <w:sz w:val="16"/>
              </w:rPr>
            </w:pPr>
            <w:r>
              <w:rPr>
                <w:rFonts w:ascii="Arial" w:hAnsi="Arial"/>
                <w:b/>
                <w:sz w:val="16"/>
              </w:rPr>
              <w:t>BOARD OF</w:t>
              <w:br/>
              <w:t>DIRECTORS</w:t>
              <w:br/>
              <w:t>RECOMMENDS</w:t>
            </w:r>
          </w:p>
          <w:p>
            <w:pPr>
              <w:pStyle w:val="TableContents"/>
              <w:bidi w:val="0"/>
              <w:spacing w:before="0" w:after="20"/>
              <w:jc w:val="left"/>
              <w:rPr/>
            </w:pPr>
            <w:r>
              <w:rPr/>
              <w:t> </w:t>
            </w:r>
          </w:p>
        </w:tc>
      </w:tr>
      <w:tr>
        <w:trPr/>
        <w:tc>
          <w:tcPr>
            <w:tcW w:w="137" w:type="dxa"/>
            <w:tcBorders/>
            <w:vAlign w:val="center"/>
          </w:tcPr>
          <w:p>
            <w:pPr>
              <w:pStyle w:val="TableContents"/>
              <w:bidi w:val="0"/>
              <w:spacing w:before="0" w:after="283"/>
              <w:jc w:val="left"/>
              <w:rPr>
                <w:rFonts w:ascii="Arial" w:hAnsi="Arial"/>
                <w:sz w:val="16"/>
              </w:rPr>
            </w:pPr>
            <w:r>
              <w:rPr>
                <w:rFonts w:ascii="Arial" w:hAnsi="Arial"/>
                <w:sz w:val="16"/>
              </w:rPr>
              <w:t>1.</w:t>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rFonts w:ascii="Arial" w:hAnsi="Arial"/>
                <w:sz w:val="16"/>
              </w:rPr>
            </w:pPr>
            <w:r>
              <w:rPr>
                <w:rFonts w:ascii="Arial" w:hAnsi="Arial"/>
                <w:sz w:val="16"/>
              </w:rPr>
              <w:t>To elect the three Class II director nominees identified in the accompanying Proxy Statement to the Board of Directors of the Company, each to serve a three-year term expiring at the 2029 Annual Meeting of the Company’s stockholders.</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36" w:type="dxa"/>
            <w:vMerge w:val="restart"/>
            <w:tcBorders/>
            <w:vAlign w:val="center"/>
          </w:tcPr>
          <w:p>
            <w:pPr>
              <w:pStyle w:val="TableContents"/>
              <w:bidi w:val="0"/>
              <w:spacing w:before="0" w:after="283"/>
              <w:jc w:val="center"/>
              <w:rPr/>
            </w:pPr>
            <w:r>
              <w:rPr/>
              <w:drawing>
                <wp:inline distT="0" distB="0" distL="0" distR="0">
                  <wp:extent cx="342900" cy="381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42900" cy="381000"/>
                          </a:xfrm>
                          <a:prstGeom prst="rect">
                            <a:avLst/>
                          </a:prstGeom>
                        </pic:spPr>
                      </pic:pic>
                    </a:graphicData>
                  </a:graphic>
                </wp:inline>
              </w:drawing>
            </w:r>
            <w:r>
              <w:rPr/>
              <w:t xml:space="preserve"> </w:t>
            </w:r>
          </w:p>
        </w:tc>
      </w:tr>
      <w:tr>
        <w:trPr/>
        <w:tc>
          <w:tcPr>
            <w:tcW w:w="13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Arial" w:hAnsi="Arial"/>
                <w:b/>
              </w:rPr>
            </w:pPr>
            <w:r>
              <w:rPr>
                <w:rFonts w:ascii="Arial" w:hAnsi="Arial"/>
                <w:b/>
              </w:rPr>
              <w:t>FOR</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Arial" w:hAnsi="Arial"/>
                <w:b/>
              </w:rPr>
            </w:pPr>
            <w:r>
              <w:rPr>
                <w:rFonts w:ascii="Arial" w:hAnsi="Arial"/>
                <w:b/>
              </w:rPr>
              <w:t>WITHHOLD</w:t>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36" w:type="dxa"/>
            <w:vMerge w:val="continue"/>
            <w:tcBorders/>
            <w:vAlign w:val="center"/>
          </w:tcPr>
          <w:p>
            <w:pPr>
              <w:pStyle w:val="Normal"/>
              <w:bidi w:val="0"/>
              <w:jc w:val="left"/>
              <w:rPr/>
            </w:pPr>
            <w:r>
              <w:rPr/>
            </w:r>
          </w:p>
        </w:tc>
      </w:tr>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rFonts w:ascii="Arial" w:hAnsi="Arial"/>
                <w:sz w:val="16"/>
              </w:rPr>
            </w:pPr>
            <w:r>
              <w:rPr>
                <w:rFonts w:ascii="Arial" w:hAnsi="Arial"/>
                <w:sz w:val="16"/>
              </w:rPr>
              <w:t>1.01 Rodney D. Windley</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center"/>
              <w:rPr>
                <w:rFonts w:ascii="Arial" w:hAnsi="Arial"/>
                <w:b/>
                <w:sz w:val="16"/>
              </w:rPr>
            </w:pPr>
            <w:r>
              <w:rPr>
                <w:rFonts w:ascii="Arial" w:hAnsi="Arial"/>
                <w:b/>
                <w:sz w:val="16"/>
              </w:rPr>
              <w:t>FOR</w:t>
            </w:r>
          </w:p>
        </w:tc>
      </w:tr>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rFonts w:ascii="Arial" w:hAnsi="Arial"/>
                <w:sz w:val="16"/>
              </w:rPr>
            </w:pPr>
            <w:r>
              <w:rPr>
                <w:rFonts w:ascii="Arial" w:hAnsi="Arial"/>
                <w:sz w:val="16"/>
              </w:rPr>
              <w:t>1.02 Sam Weil</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center"/>
              <w:rPr>
                <w:rFonts w:ascii="Arial" w:hAnsi="Arial"/>
                <w:b/>
                <w:sz w:val="16"/>
              </w:rPr>
            </w:pPr>
            <w:r>
              <w:rPr>
                <w:rFonts w:ascii="Arial" w:hAnsi="Arial"/>
                <w:b/>
                <w:sz w:val="16"/>
              </w:rPr>
              <w:t>FOR</w:t>
            </w:r>
          </w:p>
        </w:tc>
      </w:tr>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rFonts w:ascii="Arial" w:hAnsi="Arial"/>
                <w:sz w:val="16"/>
              </w:rPr>
            </w:pPr>
            <w:r>
              <w:rPr>
                <w:rFonts w:ascii="Arial" w:hAnsi="Arial"/>
                <w:sz w:val="16"/>
              </w:rPr>
              <w:t>1.03 Steven E. Rodgers</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center"/>
              <w:rPr>
                <w:rFonts w:ascii="Arial" w:hAnsi="Arial"/>
                <w:b/>
                <w:sz w:val="16"/>
              </w:rPr>
            </w:pPr>
            <w:r>
              <w:rPr>
                <w:rFonts w:ascii="Arial" w:hAnsi="Arial"/>
                <w:b/>
                <w:sz w:val="16"/>
              </w:rPr>
              <w:t>FOR</w:t>
            </w:r>
          </w:p>
        </w:tc>
      </w:tr>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jc w:val="left"/>
              <w:rPr>
                <w:sz w:val="4"/>
                <w:szCs w:val="4"/>
              </w:rPr>
            </w:pPr>
            <w:r>
              <w:rPr>
                <w:sz w:val="4"/>
                <w:szCs w:val="4"/>
              </w:rPr>
            </w:r>
          </w:p>
        </w:tc>
        <w:tc>
          <w:tcPr>
            <w:tcW w:w="5684"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933" w:type="dxa"/>
            <w:gridSpan w:val="2"/>
            <w:tcBorders>
              <w:right w:val="single" w:sz="6" w:space="0" w:color="7F7F7F"/>
            </w:tcBorders>
            <w:tcMar>
              <w:right w:w="28" w:type="dxa"/>
            </w:tcMar>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Arial" w:hAnsi="Arial"/>
                <w:b/>
                <w:sz w:val="16"/>
              </w:rPr>
            </w:pPr>
            <w:r>
              <w:rPr>
                <w:rFonts w:ascii="Arial" w:hAnsi="Arial"/>
                <w:b/>
                <w:sz w:val="16"/>
              </w:rPr>
              <w:t>FOR</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Arial" w:hAnsi="Arial"/>
                <w:b/>
                <w:sz w:val="16"/>
              </w:rPr>
            </w:pPr>
            <w:r>
              <w:rPr>
                <w:rFonts w:ascii="Arial" w:hAnsi="Arial"/>
                <w:b/>
                <w:sz w:val="16"/>
              </w:rPr>
              <w:t>AGAINST</w:t>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center"/>
              <w:rPr/>
            </w:pPr>
            <w:r>
              <w:rPr/>
              <w:t> </w:t>
            </w:r>
            <w:r>
              <w:rPr>
                <w:rFonts w:ascii="Arial" w:hAnsi="Arial"/>
                <w:b/>
                <w:sz w:val="16"/>
              </w:rPr>
              <w:t>ABSTAIN 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jc w:val="left"/>
              <w:rPr>
                <w:rFonts w:ascii="Arial" w:hAnsi="Arial"/>
                <w:sz w:val="16"/>
              </w:rPr>
            </w:pPr>
            <w:r>
              <w:rPr>
                <w:rFonts w:ascii="Arial" w:hAnsi="Arial"/>
                <w:sz w:val="16"/>
              </w:rPr>
              <w:t>2.</w:t>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rFonts w:ascii="Arial" w:hAnsi="Arial"/>
                <w:sz w:val="16"/>
              </w:rPr>
            </w:pPr>
            <w:r>
              <w:rPr>
                <w:rFonts w:ascii="Arial" w:hAnsi="Arial"/>
                <w:sz w:val="16"/>
              </w:rPr>
              <w:t>To ratify the appointment of Ernst &amp; Young LLP as the Company’s independent registered public accountants for the fiscal year ending January 2, 2027.</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jc w:val="center"/>
              <w:rPr/>
            </w:pPr>
            <w:r>
              <w:rPr>
                <w:rFonts w:ascii="Arial" w:hAnsi="Arial"/>
                <w:b/>
                <w:sz w:val="16"/>
              </w:rPr>
              <w:t>FOR</w:t>
            </w:r>
            <w:r>
              <w:rPr/>
              <w:t xml:space="preserve"> </w:t>
            </w:r>
          </w:p>
          <w:p>
            <w:pPr>
              <w:pStyle w:val="TableContents"/>
              <w:bidi w:val="0"/>
              <w:spacing w:before="0" w:after="20"/>
              <w:jc w:val="left"/>
              <w:rPr/>
            </w:pPr>
            <w:r>
              <w:rPr/>
              <w:t> </w:t>
            </w:r>
          </w:p>
        </w:tc>
      </w:tr>
      <w:tr>
        <w:trPr/>
        <w:tc>
          <w:tcPr>
            <w:tcW w:w="137" w:type="dxa"/>
            <w:tcBorders/>
            <w:vAlign w:val="center"/>
          </w:tcPr>
          <w:p>
            <w:pPr>
              <w:pStyle w:val="TableContents"/>
              <w:bidi w:val="0"/>
              <w:spacing w:before="0" w:after="283"/>
              <w:jc w:val="left"/>
              <w:rPr>
                <w:sz w:val="4"/>
                <w:szCs w:val="4"/>
              </w:rPr>
            </w:pPr>
            <w:r>
              <w:rPr>
                <w:sz w:val="4"/>
                <w:szCs w:val="4"/>
              </w:rPr>
            </w:r>
          </w:p>
        </w:tc>
        <w:tc>
          <w:tcPr>
            <w:tcW w:w="5684"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933" w:type="dxa"/>
            <w:gridSpan w:val="2"/>
            <w:tcBorders>
              <w:right w:val="single" w:sz="6" w:space="0" w:color="7F7F7F"/>
            </w:tcBorders>
            <w:tcMar>
              <w:right w:w="28" w:type="dxa"/>
            </w:tcMar>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jc w:val="left"/>
              <w:rPr>
                <w:rFonts w:ascii="Arial" w:hAnsi="Arial"/>
                <w:sz w:val="16"/>
              </w:rPr>
            </w:pPr>
            <w:r>
              <w:rPr>
                <w:rFonts w:ascii="Arial" w:hAnsi="Arial"/>
                <w:sz w:val="16"/>
              </w:rPr>
              <w:t>3.</w:t>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rFonts w:ascii="Arial" w:hAnsi="Arial"/>
                <w:sz w:val="16"/>
              </w:rPr>
            </w:pPr>
            <w:r>
              <w:rPr>
                <w:rFonts w:ascii="Arial" w:hAnsi="Arial"/>
                <w:sz w:val="16"/>
              </w:rPr>
              <w:t>To approve, on an advisory, non-binding, basis, the compensation paid to the Company’s Named Executive Officers identified in the accompanying Proxy Statement.</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jc w:val="center"/>
              <w:rPr/>
            </w:pPr>
            <w:r>
              <w:rPr>
                <w:rFonts w:ascii="Arial" w:hAnsi="Arial"/>
                <w:b/>
                <w:sz w:val="16"/>
              </w:rPr>
              <w:t>FOR</w:t>
            </w:r>
            <w:r>
              <w:rPr/>
              <w:t xml:space="preserve"> </w:t>
            </w:r>
          </w:p>
          <w:p>
            <w:pPr>
              <w:pStyle w:val="TableContents"/>
              <w:bidi w:val="0"/>
              <w:spacing w:before="0" w:after="20"/>
              <w:jc w:val="left"/>
              <w:rPr/>
            </w:pPr>
            <w:r>
              <w:rPr/>
              <w:t> </w:t>
            </w:r>
          </w:p>
        </w:tc>
      </w:tr>
      <w:tr>
        <w:trPr/>
        <w:tc>
          <w:tcPr>
            <w:tcW w:w="137" w:type="dxa"/>
            <w:tcBorders/>
            <w:vAlign w:val="center"/>
          </w:tcPr>
          <w:p>
            <w:pPr>
              <w:pStyle w:val="TableContents"/>
              <w:bidi w:val="0"/>
              <w:spacing w:before="0" w:after="283"/>
              <w:jc w:val="left"/>
              <w:rPr>
                <w:sz w:val="4"/>
                <w:szCs w:val="4"/>
              </w:rPr>
            </w:pPr>
            <w:r>
              <w:rPr>
                <w:sz w:val="4"/>
                <w:szCs w:val="4"/>
              </w:rPr>
            </w:r>
          </w:p>
        </w:tc>
        <w:tc>
          <w:tcPr>
            <w:tcW w:w="5684"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933" w:type="dxa"/>
            <w:gridSpan w:val="2"/>
            <w:tcBorders>
              <w:right w:val="single" w:sz="6" w:space="0" w:color="7F7F7F"/>
            </w:tcBorders>
            <w:tcMar>
              <w:right w:w="28" w:type="dxa"/>
            </w:tcMar>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4" w:type="dxa"/>
            <w:tcBorders/>
            <w:vAlign w:val="center"/>
          </w:tcPr>
          <w:p>
            <w:pPr>
              <w:pStyle w:val="TableContents"/>
              <w:bidi w:val="0"/>
              <w:spacing w:before="0" w:after="283"/>
              <w:jc w:val="left"/>
              <w:rPr>
                <w:rFonts w:ascii="Arial" w:hAnsi="Arial"/>
                <w:sz w:val="16"/>
              </w:rPr>
            </w:pPr>
            <w:r>
              <w:rPr>
                <w:rFonts w:ascii="Arial" w:hAnsi="Arial"/>
                <w:sz w:val="16"/>
              </w:rPr>
              <w:t>NOTE: In the proxies’ discretion, the proxies are authorized to vote on any other matters, which may properly come before the Annual Meeting or any adjournment(s) or postponement(s) thereof.</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3" w:type="dxa"/>
            <w:tcBorders>
              <w:right w:val="single" w:sz="6" w:space="0" w:color="7F7F7F"/>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245"/>
        <w:gridCol w:w="5195"/>
      </w:tblGrid>
      <w:tr>
        <w:trPr/>
        <w:tc>
          <w:tcPr>
            <w:tcW w:w="245"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0"/>
              <w:jc w:val="left"/>
              <w:rPr>
                <w:rFonts w:ascii="Arial" w:hAnsi="Arial"/>
                <w:b/>
                <w:sz w:val="18"/>
              </w:rPr>
            </w:pPr>
            <w:r>
              <w:rPr>
                <w:rFonts w:ascii="Arial" w:hAnsi="Arial"/>
                <w:b/>
                <w:sz w:val="18"/>
              </w:rPr>
              <w:t xml:space="preserve">Check here if you would like to attend the meeting in person.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155"/>
        <w:gridCol w:w="5885"/>
      </w:tblGrid>
      <w:tr>
        <w:trPr/>
        <w:tc>
          <w:tcPr>
            <w:tcW w:w="155"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Arial" w:hAnsi="Arial"/>
                <w:sz w:val="16"/>
              </w:rPr>
            </w:pPr>
            <w:r>
              <w:rPr>
                <w:rFonts w:ascii="Arial" w:hAnsi="Arial"/>
                <w:sz w:val="16"/>
              </w:rPr>
              <w:t xml:space="preserve">Authorized Signatures - Must be completed for your instructions to be executed.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The undersigned hereby acknowledges receipt of (i) the Company’s 2025 Annual Report to Stockholders, (ii) the Proxy Statement and (iii) the Notice of Annual Meeting dated April 17, 2026. </w:t>
            </w:r>
          </w:p>
        </w:tc>
      </w:tr>
    </w:tbl>
    <w:p>
      <w:pPr>
        <w:pStyle w:val="TextBody"/>
        <w:bidi w:val="0"/>
        <w:spacing w:before="0" w:after="0"/>
        <w:jc w:val="left"/>
        <w:rPr/>
      </w:pPr>
      <w:r>
        <w:rPr/>
        <w:t> </w:t>
      </w:r>
    </w:p>
    <w:p>
      <w:pPr>
        <w:pStyle w:val="TextBody"/>
        <w:bidi w:val="0"/>
        <w:spacing w:before="0" w:after="0"/>
        <w:jc w:val="left"/>
        <w:rPr/>
      </w:pPr>
      <w:r>
        <w:rPr/>
        <w:t> </w:t>
      </w:r>
    </w:p>
    <w:tbl>
      <w:tblPr>
        <w:tblW w:w="7738" w:type="dxa"/>
        <w:jc w:val="left"/>
        <w:tblInd w:w="0" w:type="dxa"/>
        <w:tblLayout w:type="fixed"/>
        <w:tblCellMar>
          <w:top w:w="0" w:type="dxa"/>
          <w:left w:w="0" w:type="dxa"/>
          <w:bottom w:w="0" w:type="dxa"/>
          <w:right w:w="0" w:type="dxa"/>
        </w:tblCellMar>
      </w:tblPr>
      <w:tblGrid>
        <w:gridCol w:w="3560"/>
        <w:gridCol w:w="120"/>
        <w:gridCol w:w="530"/>
        <w:gridCol w:w="120"/>
        <w:gridCol w:w="23"/>
        <w:gridCol w:w="120"/>
        <w:gridCol w:w="2600"/>
        <w:gridCol w:w="120"/>
        <w:gridCol w:w="545"/>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vAlign w:val="center"/>
          </w:tcPr>
          <w:p>
            <w:pPr>
              <w:pStyle w:val="TableContents"/>
              <w:pBdr>
                <w:bottom w:val="single" w:sz="2" w:space="1" w:color="000000"/>
              </w:pBdr>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265" w:type="dxa"/>
            <w:gridSpan w:val="3"/>
            <w:tcBorders/>
            <w:vAlign w:val="center"/>
          </w:tcPr>
          <w:p>
            <w:pPr>
              <w:pStyle w:val="TableContents"/>
              <w:pBdr>
                <w:bottom w:val="single" w:sz="2" w:space="1" w:color="000000"/>
              </w:pBdr>
              <w:bidi w:val="0"/>
              <w:spacing w:before="0" w:after="20"/>
              <w:jc w:val="left"/>
              <w:rPr/>
            </w:pPr>
            <w:r>
              <w:rPr/>
              <w:t> </w:t>
            </w:r>
          </w:p>
        </w:tc>
      </w:tr>
      <w:tr>
        <w:trPr/>
        <w:tc>
          <w:tcPr>
            <w:tcW w:w="3560" w:type="dxa"/>
            <w:tcBorders/>
            <w:vAlign w:val="center"/>
          </w:tcPr>
          <w:p>
            <w:pPr>
              <w:pStyle w:val="TableContents"/>
              <w:bidi w:val="0"/>
              <w:spacing w:before="0" w:after="283"/>
              <w:jc w:val="left"/>
              <w:rPr>
                <w:rFonts w:ascii="Arial" w:hAnsi="Arial"/>
              </w:rPr>
            </w:pPr>
            <w:r>
              <w:rPr>
                <w:rFonts w:ascii="Arial" w:hAnsi="Arial"/>
              </w:rPr>
              <w:t>Signature (and Title if applicable)</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rFonts w:ascii="Arial" w:hAnsi="Arial"/>
              </w:rPr>
            </w:pPr>
            <w:r>
              <w:rPr>
                <w:rFonts w:ascii="Arial" w:hAnsi="Arial"/>
              </w:rPr>
              <w:t>Date</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rFonts w:ascii="Arial" w:hAnsi="Arial"/>
              </w:rPr>
            </w:pPr>
            <w:r>
              <w:rPr>
                <w:rFonts w:ascii="Arial" w:hAnsi="Arial"/>
              </w:rPr>
              <w:t>Signature (if held jointly)</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rFonts w:ascii="Arial" w:hAnsi="Arial"/>
              </w:rPr>
            </w:pPr>
            <w:r>
              <w:rPr>
                <w:rFonts w:ascii="Arial" w:hAnsi="Arial"/>
              </w:rPr>
              <w:t>Date</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6.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27209</Words>
  <Characters>148293</Characters>
  <CharactersWithSpaces>176837</CharactersWithSpaces>
  <Paragraphs>3515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