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21536d424b4.htm"/>
        <w:bookmarkStart w:id="1" w:name="ksd321536d424b4"/>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424(b)(4) </w:t>
        <w:br/>
        <w:t xml:space="preserve">Registration No. 333-281982 </w:t>
      </w:r>
    </w:p>
    <w:p>
      <w:pPr>
        <w:pStyle w:val="TextBody"/>
        <w:bidi w:val="0"/>
        <w:spacing w:before="0" w:after="0"/>
        <w:jc w:val="left"/>
        <w:rPr/>
      </w:pPr>
      <w:r>
        <w:rPr/>
        <w:t> </w:t>
      </w:r>
    </w:p>
    <w:p>
      <w:pPr>
        <w:pStyle w:val="TextBody"/>
        <w:bidi w:val="0"/>
        <w:spacing w:before="12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SEPTEMBER 16, 2024) </w:t>
      </w:r>
    </w:p>
    <w:p>
      <w:pPr>
        <w:pStyle w:val="TextBody"/>
        <w:bidi w:val="0"/>
        <w:spacing w:before="240" w:after="0"/>
        <w:jc w:val="center"/>
        <w:rPr>
          <w:rFonts w:ascii="Times New Roman" w:hAnsi="Times New Roman"/>
          <w:b/>
          <w:sz w:val="36"/>
        </w:rPr>
      </w:pPr>
      <w:r>
        <w:rPr>
          <w:rFonts w:ascii="Times New Roman" w:hAnsi="Times New Roman"/>
          <w:b/>
          <w:sz w:val="36"/>
        </w:rPr>
        <w:t xml:space="preserve">15,000,000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14500" cy="923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923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Aveanna Healthcare Holdings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The selling stockholders identified in this prospectus supplement (the “</w:t>
      </w:r>
      <w:r>
        <w:rPr>
          <w:rFonts w:ascii="Times New Roman" w:hAnsi="Times New Roman"/>
          <w:sz w:val="20"/>
          <w:u w:val="single"/>
        </w:rPr>
        <w:t>Selling Stockholders</w:t>
      </w:r>
      <w:r>
        <w:rPr>
          <w:rFonts w:ascii="Times New Roman" w:hAnsi="Times New Roman"/>
          <w:sz w:val="20"/>
        </w:rPr>
        <w:t>”) are offering 15,000,000 shares of our common stock, par value $0.01 per share (the “</w:t>
      </w:r>
      <w:r>
        <w:rPr>
          <w:rFonts w:ascii="Times New Roman" w:hAnsi="Times New Roman"/>
          <w:sz w:val="20"/>
          <w:u w:val="single"/>
        </w:rPr>
        <w:t>common stock</w:t>
      </w:r>
      <w:r>
        <w:rPr>
          <w:rFonts w:ascii="Times New Roman" w:hAnsi="Times New Roman"/>
          <w:sz w:val="20"/>
        </w:rPr>
        <w:t xml:space="preserve">”). We will not receive any of the proceeds from the sale of shares of common stock by the Selling Stockholders. See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“AVAH.” The last reported sale price of our common stock on the Nasdaq Global Select Market on August 21, 2026, was $13.16 per share. </w:t>
      </w:r>
    </w:p>
    <w:p>
      <w:pPr>
        <w:pStyle w:val="TextBody"/>
        <w:bidi w:val="0"/>
        <w:spacing w:before="240" w:after="0"/>
        <w:jc w:val="left"/>
        <w:rPr>
          <w:rFonts w:ascii="Times New Roman" w:hAnsi="Times New Roman"/>
          <w:sz w:val="20"/>
        </w:rPr>
      </w:pPr>
      <w:r>
        <w:rPr>
          <w:rFonts w:ascii="Times New Roman" w:hAnsi="Times New Roman"/>
          <w:sz w:val="20"/>
        </w:rPr>
        <w:t>After the consummation of this offering, we will no longer be a controlled company within the meaning of the corporate governance standards of Nasdaq. Despite this, Bain Capital and J.H. Whitney Capital Partners (“Whitney” and together with Bain Capital, our “</w:t>
      </w:r>
      <w:r>
        <w:rPr>
          <w:rFonts w:ascii="Times New Roman" w:hAnsi="Times New Roman"/>
          <w:sz w:val="20"/>
          <w:u w:val="single"/>
        </w:rPr>
        <w:t>Sponsors</w:t>
      </w:r>
      <w:r>
        <w:rPr>
          <w:rFonts w:ascii="Times New Roman" w:hAnsi="Times New Roman"/>
          <w:sz w:val="20"/>
        </w:rPr>
        <w:t xml:space="preserve">”) will continue to be able to strongly influence us. See “Risk Factors—Risks Related to this Offering and Ownership of our Common Stock—The Sponsor Affiliates, which include certain of the Selling Stockholders, own a significant amount of our voting power and their interests may not be aligned with yours” and “Risk Factors—Risks Related to this Offering and Ownership of our Common Stock—Following this offering, we will no longer be a controlled company within the meaning of Nasdaq rules. However, we may continue to rely on exemptions from certain corporate governance requirements during a one-year transition period.”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common stock involves risks. See “</w:t>
      </w:r>
      <w:hyperlink w:anchor="supptx321536_3">
        <w:r>
          <w:rPr>
            <w:rStyle w:val="InternetLink"/>
            <w:rFonts w:ascii="Times New Roman" w:hAnsi="Times New Roman"/>
            <w:b/>
            <w:sz w:val="24"/>
          </w:rPr>
          <w:t>Risk Factors</w:t>
        </w:r>
      </w:hyperlink>
      <w:r>
        <w:rPr>
          <w:rFonts w:ascii="Times New Roman" w:hAnsi="Times New Roman"/>
          <w:b/>
          <w:sz w:val="24"/>
        </w:rPr>
        <w:t xml:space="preserve">” beginning on page S-5 of this prospectus supplement and page 2 of the accompanying prospectus, as well as the documents we file with the Securities and Exchange Commission that are incorporated by reference herein for more information.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77"/>
        <w:gridCol w:w="386"/>
        <w:gridCol w:w="209"/>
        <w:gridCol w:w="935"/>
        <w:gridCol w:w="60"/>
        <w:gridCol w:w="386"/>
        <w:gridCol w:w="156"/>
        <w:gridCol w:w="1382"/>
        <w:gridCol w:w="64"/>
      </w:tblGrid>
      <w:tr>
        <w:trPr/>
        <w:tc>
          <w:tcPr>
            <w:tcW w:w="417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17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1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11.75</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382" w:type="dxa"/>
            <w:tcBorders/>
            <w:shd w:fill="CCEEFF" w:val="clear"/>
            <w:vAlign w:val="bottom"/>
          </w:tcPr>
          <w:p>
            <w:pPr>
              <w:pStyle w:val="TableContents"/>
              <w:bidi w:val="0"/>
              <w:spacing w:before="0" w:after="283"/>
              <w:jc w:val="right"/>
              <w:rPr/>
            </w:pPr>
            <w:r>
              <w:rPr/>
              <w:t>176,250,000</w:t>
            </w:r>
          </w:p>
        </w:tc>
        <w:tc>
          <w:tcPr>
            <w:tcW w:w="64" w:type="dxa"/>
            <w:tcBorders/>
            <w:shd w:fill="CCEEFF" w:val="clear"/>
            <w:vAlign w:val="bottom"/>
          </w:tcPr>
          <w:p>
            <w:pPr>
              <w:pStyle w:val="TableContents"/>
              <w:bidi w:val="0"/>
              <w:spacing w:before="0" w:after="283"/>
              <w:jc w:val="left"/>
              <w:rPr/>
            </w:pPr>
            <w:r>
              <w:rPr/>
              <w:t> </w:t>
            </w:r>
          </w:p>
        </w:tc>
      </w:tr>
      <w:tr>
        <w:trPr/>
        <w:tc>
          <w:tcPr>
            <w:tcW w:w="4177"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Commission(1)</w:t>
            </w:r>
          </w:p>
        </w:tc>
        <w:tc>
          <w:tcPr>
            <w:tcW w:w="38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935" w:type="dxa"/>
            <w:tcBorders/>
            <w:vAlign w:val="bottom"/>
          </w:tcPr>
          <w:p>
            <w:pPr>
              <w:pStyle w:val="TableContents"/>
              <w:bidi w:val="0"/>
              <w:spacing w:before="0" w:after="283"/>
              <w:jc w:val="right"/>
              <w:rPr/>
            </w:pPr>
            <w:r>
              <w:rPr/>
              <w:t>0.25</w:t>
            </w:r>
          </w:p>
        </w:tc>
        <w:tc>
          <w:tcPr>
            <w:tcW w:w="6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1382" w:type="dxa"/>
            <w:tcBorders/>
            <w:vAlign w:val="bottom"/>
          </w:tcPr>
          <w:p>
            <w:pPr>
              <w:pStyle w:val="TableContents"/>
              <w:bidi w:val="0"/>
              <w:spacing w:before="0" w:after="283"/>
              <w:jc w:val="right"/>
              <w:rPr/>
            </w:pPr>
            <w:r>
              <w:rPr/>
              <w:t>3,750,000</w:t>
            </w:r>
          </w:p>
        </w:tc>
        <w:tc>
          <w:tcPr>
            <w:tcW w:w="64" w:type="dxa"/>
            <w:tcBorders/>
            <w:vAlign w:val="bottom"/>
          </w:tcPr>
          <w:p>
            <w:pPr>
              <w:pStyle w:val="TableContents"/>
              <w:bidi w:val="0"/>
              <w:spacing w:before="0" w:after="283"/>
              <w:jc w:val="left"/>
              <w:rPr/>
            </w:pPr>
            <w:r>
              <w:rPr/>
              <w:t> </w:t>
            </w:r>
          </w:p>
        </w:tc>
      </w:tr>
      <w:tr>
        <w:trPr/>
        <w:tc>
          <w:tcPr>
            <w:tcW w:w="417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w:t>
            </w:r>
          </w:p>
        </w:tc>
        <w:tc>
          <w:tcPr>
            <w:tcW w:w="38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w:t>
            </w:r>
          </w:p>
        </w:tc>
        <w:tc>
          <w:tcPr>
            <w:tcW w:w="935" w:type="dxa"/>
            <w:tcBorders/>
            <w:shd w:fill="CCEEFF" w:val="clear"/>
            <w:vAlign w:val="bottom"/>
          </w:tcPr>
          <w:p>
            <w:pPr>
              <w:pStyle w:val="TableContents"/>
              <w:bidi w:val="0"/>
              <w:spacing w:before="0" w:after="283"/>
              <w:jc w:val="right"/>
              <w:rPr/>
            </w:pPr>
            <w:r>
              <w:rPr/>
              <w:t>11.50</w:t>
            </w:r>
          </w:p>
        </w:tc>
        <w:tc>
          <w:tcPr>
            <w:tcW w:w="6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1382" w:type="dxa"/>
            <w:tcBorders/>
            <w:shd w:fill="CCEEFF" w:val="clear"/>
            <w:vAlign w:val="bottom"/>
          </w:tcPr>
          <w:p>
            <w:pPr>
              <w:pStyle w:val="TableContents"/>
              <w:bidi w:val="0"/>
              <w:spacing w:before="0" w:after="283"/>
              <w:jc w:val="right"/>
              <w:rPr/>
            </w:pPr>
            <w:r>
              <w:rPr/>
              <w:t>172,500,000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See “Underwriting” for additional information regarding compensation payable to the underwriters.</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of the Selling Stockholders affiliated with Whitney (collectively, the “Whitney Selling Stockholders”) have granted the underwriter an option for a period of 30 days after the date of this prospectus supplement to purchase up to an additional 2,250,000 shares of our common stock at the public offering price, less underwriting discounts and commissions.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offered by this prospectus supplement and the accompanying prospectus is expected to be made on or about August 24,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RBC Capital Markets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dated August 20,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
              <w:r>
                <w:rPr>
                  <w:rStyle w:val="InternetLink"/>
                  <w:rFonts w:ascii="Times New Roman" w:hAnsi="Times New Roman"/>
                  <w:sz w:val="20"/>
                </w:rPr>
                <w:t>ABOUT THIS PROSPECTUS SUPPLEMENT</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2">
              <w:r>
                <w:rPr>
                  <w:rStyle w:val="InternetLink"/>
                  <w:rFonts w:ascii="Times New Roman" w:hAnsi="Times New Roman"/>
                  <w:sz w:val="20"/>
                </w:rPr>
                <w:t>PROSPECTUS SUPPLEMENT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3">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4">
              <w:r>
                <w:rPr>
                  <w:rStyle w:val="InternetLink"/>
                  <w:rFonts w:ascii="Times New Roman" w:hAnsi="Times New Roman"/>
                  <w:sz w:val="20"/>
                </w:rPr>
                <w:t>CAUTIONARY STATEMENT ABOUT FORWARD-LOOKING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6">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7">
              <w:r>
                <w:rPr>
                  <w:rStyle w:val="InternetLink"/>
                  <w:rFonts w:ascii="Times New Roman" w:hAnsi="Times New Roman"/>
                  <w:sz w:val="20"/>
                </w:rPr>
                <w:t>MATERIAL U.S. FEDERAL INCOME TAX CONSIDERATIONS FOR NON-U.S. HOLDERS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8">
              <w:r>
                <w:rPr>
                  <w:rStyle w:val="InternetLink"/>
                  <w:rFonts w:ascii="Times New Roman" w:hAnsi="Times New Roman"/>
                  <w:sz w:val="20"/>
                </w:rPr>
                <w:t>UNDERWRITING</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9">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0">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supptx321536_12">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2">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3">
              <w:r>
                <w:rPr>
                  <w:rStyle w:val="InternetLink"/>
                  <w:rFonts w:ascii="Times New Roman" w:hAnsi="Times New Roman"/>
                  <w:sz w:val="20"/>
                </w:rPr>
                <w:t>CAUTIONARY STATEMENT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4">
              <w:r>
                <w:rPr>
                  <w:rStyle w:val="InternetLink"/>
                  <w:rFonts w:ascii="Times New Roman" w:hAnsi="Times New Roman"/>
                  <w:sz w:val="20"/>
                </w:rPr>
                <w:t>THE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6">
              <w:r>
                <w:rPr>
                  <w:rStyle w:val="InternetLink"/>
                  <w:rFonts w:ascii="Times New Roman" w:hAnsi="Times New Roman"/>
                  <w:sz w:val="20"/>
                </w:rPr>
                <w:t>DESCRIPTION OF CAPITAL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7">
              <w:r>
                <w:rPr>
                  <w:rStyle w:val="InternetLink"/>
                  <w:rFonts w:ascii="Times New Roman" w:hAnsi="Times New Roman"/>
                  <w:sz w:val="20"/>
                </w:rPr>
                <w:t>DESCRIPTION OF WARRANTS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8">
              <w:r>
                <w:rPr>
                  <w:rStyle w:val="InternetLink"/>
                  <w:rFonts w:ascii="Times New Roman" w:hAnsi="Times New Roman"/>
                  <w:sz w:val="20"/>
                </w:rPr>
                <w:t>DESCRIPTION OF RIGHTS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9">
              <w:r>
                <w:rPr>
                  <w:rStyle w:val="InternetLink"/>
                  <w:rFonts w:ascii="Times New Roman" w:hAnsi="Times New Roman"/>
                  <w:sz w:val="20"/>
                </w:rPr>
                <w:t>DESCRIPTION OF UNITS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0">
              <w:r>
                <w:rPr>
                  <w:rStyle w:val="InternetLink"/>
                  <w:rFonts w:ascii="Times New Roman" w:hAnsi="Times New Roman"/>
                  <w:sz w:val="20"/>
                </w:rPr>
                <w:t>FORMS OF SECURITIES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1">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2">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3">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4">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5">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321536_16">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tx321536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Unless the context otherwise requires, all references in this prospectus supplement to “</w:t>
      </w:r>
      <w:r>
        <w:rPr>
          <w:rFonts w:ascii="Times New Roman" w:hAnsi="Times New Roman"/>
          <w:sz w:val="20"/>
          <w:u w:val="single"/>
        </w:rPr>
        <w:t>Aveanna</w:t>
      </w:r>
      <w:r>
        <w:rPr>
          <w:rFonts w:ascii="Times New Roman" w:hAnsi="Times New Roman"/>
          <w:sz w:val="20"/>
        </w:rPr>
        <w:t>,” “</w:t>
      </w:r>
      <w:r>
        <w:rPr>
          <w:rFonts w:ascii="Times New Roman" w:hAnsi="Times New Roman"/>
          <w:sz w:val="20"/>
          <w:u w:val="single"/>
        </w:rPr>
        <w:t>Company</w:t>
      </w:r>
      <w:r>
        <w:rPr>
          <w:rFonts w:ascii="Times New Roman" w:hAnsi="Times New Roman"/>
          <w:sz w:val="20"/>
        </w:rPr>
        <w:t>,” “</w:t>
      </w:r>
      <w:r>
        <w:rPr>
          <w:rFonts w:ascii="Times New Roman" w:hAnsi="Times New Roman"/>
          <w:sz w:val="20"/>
          <w:u w:val="single"/>
        </w:rPr>
        <w:t>our company</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or “</w:t>
      </w:r>
      <w:r>
        <w:rPr>
          <w:rFonts w:ascii="Times New Roman" w:hAnsi="Times New Roman"/>
          <w:sz w:val="20"/>
          <w:u w:val="single"/>
        </w:rPr>
        <w:t>our</w:t>
      </w:r>
      <w:r>
        <w:rPr>
          <w:rFonts w:ascii="Times New Roman" w:hAnsi="Times New Roman"/>
          <w:sz w:val="20"/>
        </w:rPr>
        <w:t xml:space="preserve">” refer to Aveanna Healthcare Holdings Inc., a Delaware corporation, including its wholly owned subsidiaries.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accompanying prospectus form part of a registration statement on Form S-3 that we filed with the U.S. Securities and Exchange Commission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xml:space="preserve">”), using a “shelf” registration process. This document contains two parts. The first part consists of this prospectus supplement, which provides you with specific information about this offering. The second part consists of the accompanying prospectus, which provides more general information, some of which may not apply to this offering. Generally, when we refer only to the “prospectus,” we are referring to both parts combined. This prospectus supplement and the documents incorporated by reference herein may add, update or change information contained in the accompanying prospectus. If the information set forth in this prospectus supplement or in the documents incorporated by reference herein differs from the information set forth in the accompanying prospectus or the information contained in any document incorporated by reference herein or therein, the information contained in the most recently dated document shall control. The information contained in this prospectus supplement and the accompanying prospectus is current only as of the respective dates of such documents.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relate to the offering of our securities. Before buying any of our securities offered hereby, we urge you to carefully read this prospectus supplement, the accompanying prospectus, any free writing prospectus that we have authorized for use in connection with this offering and the additional information incorporated herein and therein by reference, as described under the headings “Where You Can Find More Information” and “Incorporation of Certain Documents by Reference”,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None of us, the Selling Stockholders nor the underwriter have authorized anyone to provide any information or to make any representations other than those contained or incorporated by reference in this prospectus supplement, the accompanying prospectus or in any free writing prospectus we have prepared or that has been prepared on our behalf or to which we have referred you. We, the Selling Stockholders and the underwriter take no responsibility for, and can provide no assurance as to the reliability of, any other information that others may give you. The Selling Stockholders and the underwriter are offering to sell, and seeking offers to buy, shares of common stock only in jurisdictions where offers and sales are permitted.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we, the Selling Stockholders and the underwriter have not done anything that would permit this offering or possession or distribution of this prospectus supplement or the accompanying prospectus in any jurisdiction where action for that purpose is required, other than in the United States. Persons outside of the United States who come into possession of this prospectus supplement and the accompanying prospectus must inform themselves about, and observe any restrictions relating to, the offering of the shares of common stock described in this prospectus supplement and the accompanying prospectus and the distribution of this prospectus supplement and the accompanying prospectus outside of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tx321536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of our business highlights some of the information contained elsewhere in, or incorporated by reference into, this prospectus supplement or the accompanying prospectus. Because this is only a summary, however, it does not contain all of the information that may be important to you. You should carefully read this prospectus supplement and the accompanying prospectus, including the documents incorporated by reference herein and therein, which are identified under “Incorporation of Certain Documents by Reference” in this prospectus supplement and in the accompanying prospectus. You should also carefully consider the matters discussed in the section in this prospectus supplement entitled “Risk Factors” and in the accompanying prospectus, in our Annual Report on Form 10-K for the fiscal year ended January 3, 2026 and in the other documents incorporated herein by reference.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diversified home care platform focused on providing care to medically complex, high-cost patient populations. We directly address the most pressing challenges facing the U.S. healthcare system by providing safe, high-quality care in the home, the lower cost care setting preferred by patients. Our patient-centered care delivery platform is designed to improve the quality of care our patients receive, which allows them to remain in their homes and minimizes the overutilization of high-cost care settings such as hospitals. Our clinical model is led by our caregivers, primarily skilled nurses, who provide specialized care to address the complex needs of each patient we serve across the full range of patient populations: newborns, children, adults and seniors. We have invested significantly in our platform to bring together best-in-class talent at all levels of the organization and support such talent with industry leading training, clinical programs, infrastructure and technology-enabled systems, which are increasingly essential in an evolving healthcare industry. We believe our platform creates sustainable competitive advantages that support our ability to continue driving rapid growth, both organically and through acquisitions, and positions us as the partner of choice for the patients we serve.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Segments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We deliver our services to patients through three segments: Private Duty Services (“</w:t>
      </w:r>
      <w:r>
        <w:rPr>
          <w:rFonts w:ascii="Times New Roman" w:hAnsi="Times New Roman"/>
          <w:sz w:val="20"/>
          <w:u w:val="single"/>
          <w:bdr w:val="single" w:sz="8" w:space="1" w:color="000000"/>
        </w:rPr>
        <w:t>PDS</w:t>
      </w:r>
      <w:r>
        <w:rPr>
          <w:rFonts w:ascii="Times New Roman" w:hAnsi="Times New Roman"/>
          <w:sz w:val="20"/>
          <w:bdr w:val="single" w:sz="8" w:space="1" w:color="000000"/>
        </w:rPr>
        <w:t>”); Home Health &amp; Hospice (“</w:t>
      </w:r>
      <w:r>
        <w:rPr>
          <w:rFonts w:ascii="Times New Roman" w:hAnsi="Times New Roman"/>
          <w:sz w:val="20"/>
          <w:u w:val="single"/>
          <w:bdr w:val="single" w:sz="8" w:space="1" w:color="000000"/>
        </w:rPr>
        <w:t>HHH</w:t>
      </w:r>
      <w:r>
        <w:rPr>
          <w:rFonts w:ascii="Times New Roman" w:hAnsi="Times New Roman"/>
          <w:sz w:val="20"/>
          <w:bdr w:val="single" w:sz="8" w:space="1" w:color="000000"/>
        </w:rPr>
        <w:t>”); and Medical Solutions (“</w:t>
      </w:r>
      <w:r>
        <w:rPr>
          <w:rFonts w:ascii="Times New Roman" w:hAnsi="Times New Roman"/>
          <w:sz w:val="20"/>
          <w:u w:val="single"/>
          <w:bdr w:val="single" w:sz="8" w:space="1" w:color="000000"/>
        </w:rPr>
        <w:t>MS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PDS Segment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Private Duty Services predominantly includes private duty nursing services (“</w:t>
      </w:r>
      <w:r>
        <w:rPr>
          <w:rFonts w:ascii="Times New Roman" w:hAnsi="Times New Roman"/>
          <w:sz w:val="20"/>
          <w:u w:val="single"/>
          <w:bdr w:val="single" w:sz="8" w:space="1" w:color="000000"/>
        </w:rPr>
        <w:t>PDN Services</w:t>
      </w:r>
      <w:r>
        <w:rPr>
          <w:rFonts w:ascii="Times New Roman" w:hAnsi="Times New Roman"/>
          <w:sz w:val="20"/>
          <w:bdr w:val="single" w:sz="8" w:space="1" w:color="000000"/>
        </w:rPr>
        <w:t>”), as well as pediatric therapy services (“</w:t>
      </w:r>
      <w:r>
        <w:rPr>
          <w:rFonts w:ascii="Times New Roman" w:hAnsi="Times New Roman"/>
          <w:sz w:val="20"/>
          <w:u w:val="single"/>
          <w:bdr w:val="single" w:sz="8" w:space="1" w:color="000000"/>
        </w:rPr>
        <w:t>Therapy Services</w:t>
      </w:r>
      <w:r>
        <w:rPr>
          <w:rFonts w:ascii="Times New Roman" w:hAnsi="Times New Roman"/>
          <w:sz w:val="20"/>
          <w:bdr w:val="single" w:sz="8" w:space="1" w:color="000000"/>
        </w:rPr>
        <w:t xml:space="preserve">”). PDN Services patients typically enter our service as children, as our most significant referral sources for new patients are children’s hospitals. It is common for PDN Services patients to continue to receive our services into adulthood, as approximately 30% of our PDN Services patients are over the age of 18.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PDN Services involve the provision of clinical and non-clinical hourly care to patients in their homes, which is the preferred setting for patient care. PDN Services typically last four to 24 hours a day, provided by our registered nurses, licensed practical nurses, home health aides, and other non-clinical caregivers who are focused on providing high-quality short-term and long-term clinical care to medically complex children and adults with a wide variety of serious illnesses and conditions. Patients who typically qualify for PDN Services include those with the following conditions: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3"/>
        <w:gridCol w:w="203"/>
        <w:gridCol w:w="8270"/>
      </w:tblGrid>
      <w:tr>
        <w:trPr/>
        <w:tc>
          <w:tcPr>
            <w:tcW w:w="1429" w:type="dxa"/>
            <w:tcBorders/>
            <w:vAlign w:val="center"/>
          </w:tcPr>
          <w:p>
            <w:pPr>
              <w:pStyle w:val="TableContents"/>
              <w:bidi w:val="0"/>
              <w:spacing w:before="0" w:after="283"/>
              <w:jc w:val="left"/>
              <w:rPr/>
            </w:pPr>
            <w:r>
              <w:rPr/>
              <w:t> </w:t>
            </w:r>
          </w:p>
        </w:tc>
        <w:tc>
          <w:tcPr>
            <w:tcW w:w="3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Tracheotomies or ventilator dependence;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continuous nutritional feeding through a “G-tube” or “NG-tube”;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intravenous nutrition;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6"/>
        <w:gridCol w:w="304"/>
        <w:gridCol w:w="203"/>
        <w:gridCol w:w="8272"/>
      </w:tblGrid>
      <w:tr>
        <w:trPr/>
        <w:tc>
          <w:tcPr>
            <w:tcW w:w="1426"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Oxygen-dependence in conjunction with other medical needs;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5"/>
        <w:gridCol w:w="201"/>
        <w:gridCol w:w="8270"/>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 medical needs such as frequent seizures.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PDN Services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6"/>
        <w:gridCol w:w="201"/>
        <w:gridCol w:w="8271"/>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82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In-home skilled nursing services to medically complex children and adults;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Nursing services in school settings in which our caregivers accompany patients to school;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8"/>
        <w:gridCol w:w="306"/>
        <w:gridCol w:w="202"/>
        <w:gridCol w:w="8269"/>
      </w:tblGrid>
      <w:tr>
        <w:trPr/>
        <w:tc>
          <w:tcPr>
            <w:tcW w:w="142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Services to patients in our Pediatric Day Healthcare Centers;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6"/>
        <w:gridCol w:w="202"/>
        <w:gridCol w:w="8270"/>
      </w:tblGrid>
      <w:tr>
        <w:trPr/>
        <w:tc>
          <w:tcPr>
            <w:tcW w:w="1427"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Non-clinical care, including programs such as support services and personal care services.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Therapy Services provide a valuable multidisciplinary approach that we believe serves all of a child’s therapy needs. We provide both in-clinic and home-based therapy services to our patients. Therapy Services include physical, occupational and speech services. We regularly collaborate with physicians and other community healthcare providers, which allows us to provide more comprehensive care.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HHH Segment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Home Health and Hospice segment predominantly includes home health services (“</w:t>
      </w:r>
      <w:r>
        <w:rPr>
          <w:rFonts w:ascii="Times New Roman" w:hAnsi="Times New Roman"/>
          <w:sz w:val="20"/>
          <w:u w:val="single"/>
          <w:bdr w:val="single" w:sz="8" w:space="1" w:color="000000"/>
        </w:rPr>
        <w:t>HH Services</w:t>
      </w:r>
      <w:r>
        <w:rPr>
          <w:rFonts w:ascii="Times New Roman" w:hAnsi="Times New Roman"/>
          <w:sz w:val="20"/>
          <w:bdr w:val="single" w:sz="8" w:space="1" w:color="000000"/>
        </w:rPr>
        <w:t xml:space="preserve">”), as well as hospice and specialty program services. Our HHH patients typically enter our service as seniors, and our most significant referral sources for new patients are hospitals, physicians and long-term care facilities.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HH Services involve the provision of in-home services to our patients by our clinicians, which may include nurses, therapists, social workers and home health aides. Our caregivers work with our patients’ physicians to deliver a personalized plan of care to our patients in their homes. Home healthcare can help our patients recover after a hospitalization or surgery and assist patients in managing chronic illnesses. We also help our patients manage their medications. Through our care, we help our patients recover more fully in the comfort of their own homes, while remaining as independent as possible. HH Services include: in-home skilled nursing services; physical, occupational and speech therapy; medical social services and aide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hospice services involve a supportive philosophy and concept of care for those nearing the end of life. Our hospice care is a positive, empowering form of care designed to provide comfort and support to our patients and their families when a life-limiting illness no longer responds to cure-oriented treatments. The goal of hospice is to neither prolong life nor hasten death, but to help our patients live as dignified and pain-free as possible. Our hospice care is provided by a team of specially trained professionals in a variety of living situations, including at home, at the hospital, a nursing home, or an assisted living facility.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MS Segment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Through our Medical Solutions segment, we offer a comprehensive line of enteral nutrition supplies and other products to adults and children, delivered on a periodic or as-needed basis. We provide our patients with access to one of the largest selections of enteral formulas, supplies and pumps in our industry, with more than 300 nutritional formulas available. Our registered nurses, registered dietitians and customer service technicians support our patients 24 hours per day, 365 days per year, in-hospital, at-home, or remotely to help ensure that our patients have the best nutrition assessments, change order reviews and formula selection expertise.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Recent Developments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Acquisition-related Activities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June 1, 2026, we completed the acquisition of Family First Holding, LLC, a scaled, multi-state provider of pediatric home care that primarily provides skilled Private Duty Nursing services with 27 locations in seven states including Florida, Illinois, Iowa, Pennsylvania, South Dakota, Texas, and North Carolina.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400 Interstate North Parkway SE, Atlanta, Georgia 30339 and our phone number is (770) 441-1580. Our website address on the Internet is www.aveanna.com. The information contained on, or accessible through, our website is not incorporated into this prospectus supplement or the accompanying prospectus and does not form a 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2886"/>
        <w:gridCol w:w="123"/>
        <w:gridCol w:w="7196"/>
      </w:tblGrid>
      <w:tr>
        <w:trPr/>
        <w:tc>
          <w:tcPr>
            <w:tcW w:w="28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96" w:type="dxa"/>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Common Stock Offered by the Selling Stockholders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15,000,000 shares.</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Common Stock Outstanding</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218,152,927 shares.</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Option to Purchase Additional Shares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Certain of the Whitney Selling Stockholders have granted the underwriter an option to purchase up to 2,250,000 additional shares of our common stock at the public offering price less underwriting discounts and commissions. This option is exercisable, in whole or in part, for a period of 30 days immediately following the date of this prospectus supplement.</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Use of Proceeds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We will not receive any proceeds from the sale of shares of common stock offered by the Selling Stockholders; however, we will bear the costs associated with the sale of shares by the Selling Stockholders, other than underwriting discounts and commissions. See “Use of Proceeds.”</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Risk Factors</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Investing in our common stock involves risks. You should read carefully the “Risk Factors” section of this prospectus supplement, the accompanying prospectus and in the documents incorporated by reference herein and therein for a discussion of factors that you should carefully consider before deciding to invest in our common stock.</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Nasdaq Global Select Market Symbol</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w:t>
            </w:r>
            <w:r>
              <w:rPr/>
              <w:t>AVAH”</w:t>
            </w:r>
          </w:p>
        </w:tc>
      </w:tr>
      <w:tr>
        <w:trPr>
          <w:trHeight w:val="120" w:hRule="atLeast"/>
        </w:trPr>
        <w:tc>
          <w:tcPr>
            <w:tcW w:w="2886" w:type="dxa"/>
            <w:tcBorders/>
            <w:vAlign w:val="center"/>
          </w:tcPr>
          <w:p>
            <w:pPr>
              <w:pStyle w:val="TableContents"/>
              <w:bidi w:val="0"/>
              <w:spacing w:before="0" w:after="283"/>
              <w:jc w:val="left"/>
              <w:rPr>
                <w:sz w:val="4"/>
                <w:szCs w:val="4"/>
              </w:rPr>
            </w:pPr>
            <w:r>
              <w:rPr>
                <w:sz w:val="4"/>
                <w:szCs w:val="4"/>
              </w:rPr>
            </w:r>
          </w:p>
        </w:tc>
        <w:tc>
          <w:tcPr>
            <w:tcW w:w="7319" w:type="dxa"/>
            <w:gridSpan w:val="2"/>
            <w:tcBorders/>
            <w:vAlign w:val="center"/>
          </w:tcPr>
          <w:p>
            <w:pPr>
              <w:pStyle w:val="TableContents"/>
              <w:bidi w:val="0"/>
              <w:spacing w:before="0" w:after="283"/>
              <w:jc w:val="left"/>
              <w:rPr>
                <w:sz w:val="4"/>
                <w:szCs w:val="4"/>
              </w:rPr>
            </w:pPr>
            <w:r>
              <w:rPr>
                <w:sz w:val="4"/>
                <w:szCs w:val="4"/>
              </w:rPr>
            </w:r>
          </w:p>
        </w:tc>
      </w:tr>
      <w:tr>
        <w:trPr/>
        <w:tc>
          <w:tcPr>
            <w:tcW w:w="2886" w:type="dxa"/>
            <w:tcBorders/>
          </w:tcPr>
          <w:p>
            <w:pPr>
              <w:pStyle w:val="TableContents"/>
              <w:bidi w:val="0"/>
              <w:spacing w:before="0" w:after="283"/>
              <w:jc w:val="left"/>
              <w:rPr>
                <w:b/>
              </w:rPr>
            </w:pPr>
            <w:r>
              <w:rPr>
                <w:b/>
              </w:rPr>
              <w:t>Controlled Company</w:t>
            </w:r>
          </w:p>
        </w:tc>
        <w:tc>
          <w:tcPr>
            <w:tcW w:w="123" w:type="dxa"/>
            <w:tcBorders/>
            <w:vAlign w:val="bottom"/>
          </w:tcPr>
          <w:p>
            <w:pPr>
              <w:pStyle w:val="TableContents"/>
              <w:bidi w:val="0"/>
              <w:spacing w:before="0" w:after="283"/>
              <w:jc w:val="left"/>
              <w:rPr/>
            </w:pPr>
            <w:r>
              <w:rPr/>
              <w:t>  </w:t>
            </w:r>
          </w:p>
        </w:tc>
        <w:tc>
          <w:tcPr>
            <w:tcW w:w="7196" w:type="dxa"/>
            <w:tcBorders/>
          </w:tcPr>
          <w:p>
            <w:pPr>
              <w:pStyle w:val="TableContents"/>
              <w:bidi w:val="0"/>
              <w:spacing w:before="0" w:after="283"/>
              <w:jc w:val="left"/>
              <w:rPr/>
            </w:pPr>
            <w:r>
              <w:rPr/>
              <w:t>Prior to this offering, affiliates (the “Sponsor Affiliates”) of the Sponsors controlled a majority of the voting power of our outstanding common stock. As a result, we were a controlled company within the meaning of the corporate governance rules of Nasdaq. However, after the consummation of this offering, we will no longer be a controlled company. See “Risk Factors—Risks Related to this Offering and Ownership of our Common Stock—The Sponsor Affiliates, which include certain of the Selling Stockholders, own a significant amount of our voting power and their interests may not be aligned with yours” and “Risk Factors—Risks Related to this Offering and Ownership of our Common Stock—Following this offering, we will no longer be a controlled company within the meaning of Nasdaq rules.” Even though we will no longer be a controlled company, we will continue to qualify for, and may rely on, exemptions from certain corporate governance requirements that would otherwise provide protection to stockholders of other companies during a one-year transition period. In addition, the Sponsor Affiliates will continue to be able to strongly influence us.</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our shares of common stock outstanding after this offering is based on 218,152,927 shares of common stock outstanding as of July 4, 2026, which excludes (in each case as of July 4, 2026):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5"/>
        <w:gridCol w:w="203"/>
        <w:gridCol w:w="8270"/>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12,871,563 shares of common stock issuable upon the exercise of options to purchase shares of our common stock outstanding under our Amended and Restated 2017 Stock Incentive Plan (the “</w:t>
            </w:r>
            <w:r>
              <w:rPr>
                <w:rFonts w:ascii="Times New Roman" w:hAnsi="Times New Roman"/>
                <w:sz w:val="20"/>
                <w:u w:val="single"/>
              </w:rPr>
              <w:t>2017 Plan</w:t>
            </w:r>
            <w:r>
              <w:rPr>
                <w:rFonts w:ascii="Times New Roman" w:hAnsi="Times New Roman"/>
                <w:sz w:val="20"/>
              </w:rPr>
              <w:t xml:space="preserve">”) with a weighted average exercise price of $6.42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5"/>
        <w:gridCol w:w="203"/>
        <w:gridCol w:w="8270"/>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71,750 shares of common stock issuable upon the vesting of deferred restricted stock units outstanding under the 2017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5"/>
        <w:gridCol w:w="203"/>
        <w:gridCol w:w="8270"/>
      </w:tblGrid>
      <w:tr>
        <w:trPr/>
        <w:tc>
          <w:tcPr>
            <w:tcW w:w="142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70" w:type="dxa"/>
            <w:tcBorders/>
          </w:tcPr>
          <w:p>
            <w:pPr>
              <w:pStyle w:val="TableContents"/>
              <w:bidi w:val="0"/>
              <w:spacing w:before="0" w:after="0"/>
              <w:jc w:val="left"/>
              <w:rPr>
                <w:rFonts w:ascii="Times New Roman" w:hAnsi="Times New Roman"/>
                <w:sz w:val="20"/>
              </w:rPr>
            </w:pPr>
            <w:r>
              <w:rPr>
                <w:rFonts w:ascii="Times New Roman" w:hAnsi="Times New Roman"/>
                <w:sz w:val="20"/>
              </w:rPr>
              <w:t>5,551,639 shares of common stock issuable upon the vesting of restricted stock units outstanding under our 2021 Stock Incentive Plan (the “</w:t>
            </w:r>
            <w:r>
              <w:rPr>
                <w:rFonts w:ascii="Times New Roman" w:hAnsi="Times New Roman"/>
                <w:sz w:val="20"/>
                <w:u w:val="single"/>
              </w:rPr>
              <w:t>2021 Plan</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5,256,244 shares of common stock issuable upon the vesting of performance stock units outstanding under the 2021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7"/>
        <w:gridCol w:w="202"/>
        <w:gridCol w:w="8269"/>
      </w:tblGrid>
      <w:tr>
        <w:trPr/>
        <w:tc>
          <w:tcPr>
            <w:tcW w:w="1427"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14,164,660 shares of common stock available for future issuance under our 2021 Plan, excluding shares that will become issuable pursuant to provisions in the 2021 Plan that automatically increase the share reserve under the 2021 Plan;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7"/>
        <w:gridCol w:w="202"/>
        <w:gridCol w:w="8269"/>
      </w:tblGrid>
      <w:tr>
        <w:trPr/>
        <w:tc>
          <w:tcPr>
            <w:tcW w:w="1427" w:type="dxa"/>
            <w:tcBorders/>
            <w:vAlign w:val="center"/>
          </w:tcPr>
          <w:p>
            <w:pPr>
              <w:pStyle w:val="TableContents"/>
              <w:bidi w:val="0"/>
              <w:spacing w:before="0" w:after="283"/>
              <w:jc w:val="left"/>
              <w:rPr/>
            </w:pPr>
            <w:r>
              <w:rPr/>
              <w:t> </w:t>
            </w:r>
          </w:p>
        </w:tc>
        <w:tc>
          <w:tcPr>
            <w:tcW w:w="307"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4,599,684 shares of common stock available for future issuance under our 2021 Employee Stock Purchase Plan (the “</w:t>
            </w:r>
            <w:r>
              <w:rPr>
                <w:rFonts w:ascii="Times New Roman" w:hAnsi="Times New Roman"/>
                <w:sz w:val="20"/>
                <w:u w:val="single"/>
              </w:rPr>
              <w:t>ESPP</w:t>
            </w:r>
            <w:r>
              <w:rPr>
                <w:rFonts w:ascii="Times New Roman" w:hAnsi="Times New Roman"/>
                <w:sz w:val="20"/>
              </w:rPr>
              <w:t xml:space="preserve">”), excluding shares that will become issuable pursuant to provisions in the ESPP that automatically increase the share reserve under the ESPP.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8"/>
        <w:gridCol w:w="305"/>
        <w:gridCol w:w="203"/>
        <w:gridCol w:w="8269"/>
      </w:tblGrid>
      <w:tr>
        <w:trPr/>
        <w:tc>
          <w:tcPr>
            <w:tcW w:w="142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the outstanding options or settlement of outstanding restricted stock units or performance stock units;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7"/>
        <w:gridCol w:w="304"/>
        <w:gridCol w:w="202"/>
        <w:gridCol w:w="8272"/>
      </w:tblGrid>
      <w:tr>
        <w:trPr/>
        <w:tc>
          <w:tcPr>
            <w:tcW w:w="1427"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7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purchases under the ESPP;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1429"/>
        <w:gridCol w:w="305"/>
        <w:gridCol w:w="202"/>
        <w:gridCol w:w="8269"/>
      </w:tblGrid>
      <w:tr>
        <w:trPr/>
        <w:tc>
          <w:tcPr>
            <w:tcW w:w="142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82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 of its option to purchase additional shares of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upptx321536_3"/>
      <w:bookmarkEnd w:id="5"/>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common stock involves a high degree of risk. Before deciding whether to invest in the common stock offered hereby, you should carefully consider the risks described below, as well as the other risks described in our Annual Report on Form 10-K for the fiscal year ended January 3, 2026, the other documents incorporated by reference in this prospectus supplement and the accompanying prospectus, and in any free writing prospectus that we have authorized for use in connection with this offering. If any of these risks actually occurs, our business, financial condition, results of operations or cash flow could be materially harmed. In that case, the trading price of our common stock could decline, and you may lose all or part of your investment. </w:t>
      </w:r>
    </w:p>
    <w:p>
      <w:pPr>
        <w:pStyle w:val="TextBody"/>
        <w:bidi w:val="0"/>
        <w:spacing w:before="480" w:after="0"/>
        <w:jc w:val="center"/>
        <w:rPr>
          <w:rFonts w:ascii="Times New Roman" w:hAnsi="Times New Roman"/>
          <w:b/>
          <w:sz w:val="20"/>
        </w:rPr>
      </w:pPr>
      <w:r>
        <w:rPr>
          <w:rFonts w:ascii="Times New Roman" w:hAnsi="Times New Roman"/>
          <w:b/>
          <w:sz w:val="20"/>
        </w:rPr>
        <w:t xml:space="preserve">Risks Related to this Offering and Ownership of our Common Stock </w:t>
      </w:r>
    </w:p>
    <w:p>
      <w:pPr>
        <w:pStyle w:val="TextBody"/>
        <w:bidi w:val="0"/>
        <w:spacing w:before="240" w:after="0"/>
        <w:jc w:val="left"/>
        <w:rPr>
          <w:rFonts w:ascii="Times New Roman" w:hAnsi="Times New Roman"/>
          <w:b/>
          <w:i/>
          <w:sz w:val="20"/>
        </w:rPr>
      </w:pPr>
      <w:r>
        <w:rPr>
          <w:rFonts w:ascii="Times New Roman" w:hAnsi="Times New Roman"/>
          <w:b/>
          <w:i/>
          <w:sz w:val="20"/>
        </w:rPr>
        <w:t xml:space="preserve">Future sales, or the perception of future sales, by us or our existing stockholders in the public market could cause the market price for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The sale of our common stock in the public market, or the perception that such sales may occur, could harm the prevailing market price of our common stock.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All shares sold in this offering will be freely tradable without restriction or further registration under the Securities Act, except for any common stock purchased by our affiliates in this offering, as that term is defined under Rule 144 under the Securities Act (“</w:t>
      </w:r>
      <w:r>
        <w:rPr>
          <w:rFonts w:ascii="Times New Roman" w:hAnsi="Times New Roman"/>
          <w:sz w:val="20"/>
          <w:u w:val="single"/>
        </w:rPr>
        <w:t>Rule 144</w:t>
      </w:r>
      <w:r>
        <w:rPr>
          <w:rFonts w:ascii="Times New Roman" w:hAnsi="Times New Roman"/>
          <w:sz w:val="20"/>
        </w:rPr>
        <w:t>”), including our directors, executive officers and Bain Capital L.P. (“</w:t>
      </w:r>
      <w:r>
        <w:rPr>
          <w:rFonts w:ascii="Times New Roman" w:hAnsi="Times New Roman"/>
          <w:sz w:val="20"/>
          <w:u w:val="single"/>
        </w:rPr>
        <w:t>Bain Capital</w:t>
      </w:r>
      <w:r>
        <w:rPr>
          <w:rFonts w:ascii="Times New Roman" w:hAnsi="Times New Roman"/>
          <w:sz w:val="20"/>
        </w:rPr>
        <w:t xml:space="preserve">”) or their respective affiliates. </w:t>
      </w:r>
    </w:p>
    <w:p>
      <w:pPr>
        <w:pStyle w:val="TextBody"/>
        <w:bidi w:val="0"/>
        <w:spacing w:before="240" w:after="0"/>
        <w:jc w:val="left"/>
        <w:rPr>
          <w:rFonts w:ascii="Times New Roman" w:hAnsi="Times New Roman"/>
          <w:sz w:val="20"/>
        </w:rPr>
      </w:pPr>
      <w:r>
        <w:rPr>
          <w:rFonts w:ascii="Times New Roman" w:hAnsi="Times New Roman"/>
          <w:sz w:val="20"/>
        </w:rPr>
        <w:t xml:space="preserve">As of July 4, 2026, the Sponsor Affiliates collectively beneficially owned approximately 50.7% of our common stock. After giving effect to the offer and sale of the common stock by the Selling Stockholders, the Sponsor Affiliates will beneficially own 44.1% of our shares of common stock outstanding (or approximately 43.1% of our shares of common stock outstanding if the underwriter’s option to purchase additional shares from the Whitney Selling Stockholders is exercised in full) assuming 218,152,927 shares are issued and outstanding. Such shares of common stock beneficially owned by the Sponsor Affiliates are “restricted securities” under Rule 144 and subject to certain restrictions on resale, including under the A&amp;R Stockholders Agreement (see “Selling Stockholders—Other Material Relationships”). Restricted securities may be sold in the public market only if they are registered under the Securities Act or are sold pursuant to an exemption from registration.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we, the Selling Stockholders, our other directors and executive officers and the Sponsor Affiliates have agreed with the underwriter, subject to certain exceptions, not to dispose of or hedge any of our or their common stock or securities convertible into or exchangeable for common stock during the period from the date of this prospectus supplement continuing through the date that is 30 days after the date of this prospectus supplement, except with the prior written consent of the underwriter. See “Underwriting” for a description of these lock-up agreements. Upon the expiration of the lock-up agreements pertaining to this offering, up to an additional 110,459,499 shares of common stock, all of which are held by directors, executive officers and the Sponsor Affiliates, will be eligible for sale in the public market, subject to volume, manner of sale and other limitations under Rule 144 and under the A&amp;R Stockholders Agreement. </w:t>
      </w:r>
    </w:p>
    <w:p>
      <w:pPr>
        <w:pStyle w:val="TextBody"/>
        <w:bidi w:val="0"/>
        <w:spacing w:before="240" w:after="0"/>
        <w:jc w:val="left"/>
        <w:rPr>
          <w:rFonts w:ascii="Times New Roman" w:hAnsi="Times New Roman"/>
          <w:sz w:val="20"/>
        </w:rPr>
      </w:pPr>
      <w:r>
        <w:rPr>
          <w:rFonts w:ascii="Times New Roman" w:hAnsi="Times New Roman"/>
          <w:sz w:val="20"/>
        </w:rPr>
        <w:t>The parties to our amended and restated registration rights agreement, dated as of May 3, 2021 (the “</w:t>
      </w:r>
      <w:r>
        <w:rPr>
          <w:rFonts w:ascii="Times New Roman" w:hAnsi="Times New Roman"/>
          <w:sz w:val="20"/>
          <w:u w:val="single"/>
        </w:rPr>
        <w:t>A&amp;R Registration Rights Agreement</w:t>
      </w:r>
      <w:r>
        <w:rPr>
          <w:rFonts w:ascii="Times New Roman" w:hAnsi="Times New Roman"/>
          <w:sz w:val="20"/>
        </w:rPr>
        <w:t xml:space="preserve">”), including certain Sponsor Affiliates, have certain registration rights with respect to our common stock. Pursuant to the A&amp;R Registration Rights Agreement, such Sponsor Affiliates who hold more than 2% of registrable securities have the right to require us to file a registration statement with the SEC for the sale of our common stock, subject to certain exceptions (see “Selling Stockholders—Other Material Relationships”). Such Sponsor Affiliates have the right to an unlimited number of such “demand” registrations. Registration of any of these outstanding shares of common stock would result in such shares becoming freely tradable without compliance with Rule 144 upon effectiveness of the registration statement. If such Sponsor Affiliates exercise their registration rights, the market price of our common stock could drop significantly if the holders of these shares sell them or are perceived by the market as intending to sell them. These factors could also make it more difficult for us to raise additional funds through future offerings of our common stock or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a substantial number of shares of common stock are subject to outstanding awards or reserved for future issuance, as applicable, under our 2017 Plan, our 2021 Plan and our ESPP and will become eligible for sale in the public market once those shares are issued, subject to provisions relating to any vesting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also issue our securities in connection with investments or acquisitions. The number of shares of our common stock issued in connection with an investment or acquisition could constitute a material portion of our then-outstanding common stock. Any issuance of additional securities in connection with investments or acquisitions may result in additional dilution to our stockholders and the securities issued may have rights that are senior to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intend to pay dividends for the foreseeable future. </w:t>
      </w:r>
    </w:p>
    <w:p>
      <w:pPr>
        <w:pStyle w:val="TextBody"/>
        <w:bidi w:val="0"/>
        <w:spacing w:before="120" w:after="0"/>
        <w:jc w:val="left"/>
        <w:rPr>
          <w:rFonts w:ascii="Times New Roman" w:hAnsi="Times New Roman"/>
          <w:sz w:val="20"/>
        </w:rPr>
      </w:pPr>
      <w:r>
        <w:rPr>
          <w:rFonts w:ascii="Times New Roman" w:hAnsi="Times New Roman"/>
          <w:sz w:val="20"/>
        </w:rPr>
        <w:t xml:space="preserve">We currently intend to retain all available funds and any future earnings to fund the growth of our business; therefore, we do not anticipate paying any cash dividends in the foreseeable future. As a result of our current dividend policy, you may not receive any return on an investment in our common stock unless you sell our common stock for a price greater than that which you paid for it. Any future determination to declare and pay cash dividends, if any, will be entirely at the discretion of our Board of Directors and will depend upon then-existing conditions, including our earnings, capital requirements, results of operations, financial condition, business prospects and any other factors that our Board of Directors considers relevant. Our ability to pay dividends depends on our receipt of cash dividends from our operating subsidiaries, which may further restrict our ability to pay dividends as a result of the laws of their jurisdiction of organization or agreements of our subsidiaries, including agreements governing our current and future indebtedness.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Following this offering, we will no longer be a controlled company within the meaning of Nasdaq rules. However, we may continue to rely on exemptions from certain corporate governance requirements during a one-year transition period. </w:t>
      </w:r>
    </w:p>
    <w:p>
      <w:pPr>
        <w:pStyle w:val="TextBody"/>
        <w:bidi w:val="0"/>
        <w:spacing w:before="120" w:after="0"/>
        <w:jc w:val="left"/>
        <w:rPr>
          <w:rFonts w:ascii="Times New Roman" w:hAnsi="Times New Roman"/>
          <w:sz w:val="20"/>
        </w:rPr>
      </w:pPr>
      <w:r>
        <w:rPr>
          <w:rFonts w:ascii="Times New Roman" w:hAnsi="Times New Roman"/>
          <w:sz w:val="20"/>
        </w:rPr>
        <w:t xml:space="preserve">After completion of this offering, the Sponsor Affiliates will no longer together own a majority of our outstanding common stock. As a result, we will no longer be considered a controlled company within the meaning of the corporate governance standards of Nasdaq and the rules of the SEC. However, even though we will no longer be a controlled company, we will continue to qualify for, and may rely on, exemptions from certain corporate governance requirements that would otherwise provide protection to stockholders of other companies during a one-year transition period. During this one-year transition period, we may elect not to comply with certain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 of independent directors as defined under the rules of Nasdaq;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have a compensation committee that is composed entirely of directors who meet Nasdaq independence standards for compensation committee members;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our director nominations be made, or recommended to our full Board of Directors, by our independent directors or by a nominations committee that consists entirely of independent directors.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currently rely on the exemption to the requirement that our director nominations be made, or recommended to our full Board of Directors, by our independent directors or by a nominations committee that consists entirely of independent directors. We do not currently and do not intend to rely on the other exemptions listed above, however we may elect to rely on certain of these other exemptions during the one-year transition period. As a result, in the future, our Board of Directors and those committees may have more directors who do not meet Nasdaq’s independence standards than they would if those standards were to apply. The independence standards are intended to ensure that directors who meet those standards are free of any conflicting interest that could influence their actions as directors. Accordingly, you may not have the same protections afforded to stockholders of companies that are subject to all of the corporate governance requirements of Nasdaq.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Sponsor Affiliates, which include certain of the Selling Stockholders, own a significant amount of our voting power and their interests may not be aligned with yours. </w:t>
      </w:r>
    </w:p>
    <w:p>
      <w:pPr>
        <w:pStyle w:val="TextBody"/>
        <w:bidi w:val="0"/>
        <w:spacing w:before="120" w:after="0"/>
        <w:jc w:val="left"/>
        <w:rPr>
          <w:rFonts w:ascii="Times New Roman" w:hAnsi="Times New Roman"/>
          <w:sz w:val="20"/>
        </w:rPr>
      </w:pPr>
      <w:r>
        <w:rPr>
          <w:rFonts w:ascii="Times New Roman" w:hAnsi="Times New Roman"/>
          <w:sz w:val="20"/>
        </w:rPr>
        <w:t>As of July 4, 2026, the Sponsor Affiliates collectively beneficially own approximately 50.7% of our common stock. After giving effect to the offer and sale of the common stock by the Selling Stockholders, the Sponsor Affiliates will beneficially own 44.1% of our shares of common stock outstanding (or approximately 43.1% of our shares of common stock outstanding if the underwriter’s option to purchase additional shares from the Whitney Selling Stockholders is exercised in full) assuming 218,152,927 shares are issued and outstanding. So long as our Sponsors, or funds controlled by or associated with our Sponsors, continue to own a significant amount of the outstanding shares of our common stock, even following this offering when such amount is less than 50% of our outstanding shares, our Sponsors will continue to be able to strongly influence us. Our Sponsors are in the business of making investments in companies and may from time to time acquire and hold interests in businesses that compete directly or indirectly with us. One or both of our Sponsors may also pursue acquisition opportunities that may be complementary to our business and, as a result, those acquisition opportunities may not be available to us. Our second amended and restated certificate of incorporation (the “</w:t>
      </w:r>
      <w:r>
        <w:rPr>
          <w:rFonts w:ascii="Times New Roman" w:hAnsi="Times New Roman"/>
          <w:sz w:val="20"/>
          <w:u w:val="single"/>
        </w:rPr>
        <w:t>Amended Charter</w:t>
      </w:r>
      <w:r>
        <w:rPr>
          <w:rFonts w:ascii="Times New Roman" w:hAnsi="Times New Roman"/>
          <w:sz w:val="20"/>
        </w:rPr>
        <w:t xml:space="preserve">”) provides that none of our Sponsors or any of their affiliates will have any duty to refrain from (i) engaging in a corporate opportunity in the same or similar lines of business in which we or our affiliates now engage or propose to engage or (ii) otherwise competing with us or our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is possible that our Sponsors may have interests that are different from other stockholders and may vote in a way with which other stockholders may disagree and that may be adverse to other stockholders’ interests. Further, the Sponsors may have differing views from each other, none of which may align with other stockholders’ interests. In addition, the Sponsors’ concentration of ownership could have the effect of delaying or preventing a change in control or otherwise discouraging a potential acquirer from attempting to obtain control of us, which could cause the market price of our common stock to decline or prevent our stockholders from realizing a premium over the market price for their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governing documents and under Delaware law could make an acquisition of our company more difficult, limit attempts by our stockholders to replace or remove our current management and limit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Our Amended Charter, second amended and restated bylaws (the “</w:t>
      </w:r>
      <w:r>
        <w:rPr>
          <w:rFonts w:ascii="Times New Roman" w:hAnsi="Times New Roman"/>
          <w:sz w:val="20"/>
          <w:u w:val="single"/>
        </w:rPr>
        <w:t>Amended Bylaws</w:t>
      </w:r>
      <w:r>
        <w:rPr>
          <w:rFonts w:ascii="Times New Roman" w:hAnsi="Times New Roman"/>
          <w:sz w:val="20"/>
        </w:rPr>
        <w:t xml:space="preserve">”) and Delaware law contain provisions that could have the effect of rendering more difficult, delaying or preventing an acquisition deemed undesirable by our Board of Directors. Among other things, our Amended Charter and/or Amended Bylaws include the following provisions: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staggered board, which means that our Board of Directors is classified into three classes of directors with staggered three-year terms and directors are only able to be removed from office for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limitations on convening special stockholder meetings, which could make it difficult for our stockholders to adopt desired governance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a prohibition on stockholder action by written consent from and after the date on which the Sponsors and each of their respective affiliates cease to beneficially own in the aggregate at least 50% of the outstanding shares of common stock (the “</w:t>
            </w:r>
            <w:r>
              <w:rPr>
                <w:rFonts w:ascii="Times New Roman" w:hAnsi="Times New Roman"/>
                <w:sz w:val="20"/>
                <w:u w:val="single"/>
              </w:rPr>
              <w:t>Trigger Event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forum selection clause, which means certain litigation against us can only be brought in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and after the Trigger Event, the removal of directors only for cause and only upon the affirmative vote of the holders of at least 66 2/3% in voting power of all of the then-outstanding shares of our common stock entitled to vote thereon;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from and after the Trigger Event, requiring the affirmative vote of holders of at least 66 2/3% of the voting power of all of the then outstanding shares of common stock to amend provisions of our Amended Charter relating to the management of our business, our Board of Directors, stockholder action by written consent, calling special meetings of stockholders, competition and corporate opportunities, Section 203 of the Delaware General Corporation Law (the “</w:t>
            </w:r>
            <w:r>
              <w:rPr>
                <w:rFonts w:ascii="Times New Roman" w:hAnsi="Times New Roman"/>
                <w:sz w:val="20"/>
                <w:u w:val="single"/>
              </w:rPr>
              <w:t>DGCL</w:t>
            </w:r>
            <w:r>
              <w:rPr>
                <w:rFonts w:ascii="Times New Roman" w:hAnsi="Times New Roman"/>
                <w:sz w:val="20"/>
              </w:rPr>
              <w:t xml:space="preserve">”), forum selection and the liability of our directors, or to amend, alter, rescind or repeal our Amended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authorization of undesignated preferred stock, the terms of which may be established and shares of which may be issued without further action by our stockholders;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procedures, which apply for stockholders to nominate candidates for election as directors or to bring matters before an annual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Following the consummation of this offering, we will no longer be a controlled company and, in connection therewith, a Trigger Event will be deemed to have occurred and the anti-takeover provisions described above will become effective.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alone or together, could delay or prevent hostile takeovers and changes in control or changes in our management. We have opted out of Section 203 of the DGCL. However, our Amended Charter contains similar provisions providing that we may not engage in certain “business combinations” with any “interested stockholder” for a three-year period following the time that the stockholder became an interested stockholder, unless (i) prior to the time such stockholder became an interested stockholder, the Board of Directors approved the transaction that resulted in such stockholder becoming an interested stockholder, (ii) upon consummation of the transaction that resulted in such stockholder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becoming an interested stockholder, the interested stockholder owned at least 85% of the common stock or (iii) following Board of Directors approval, the business combination receives the approval of the holders of at least two-thirds of our outstanding common stock not held by such interested stockholder at an annual or special meeting of stockholders. Our Amended Charter provides that the Sponsors and their respective affiliates, and any of their respective direct or indirect transferees and any group as to which such persons are a party, do not constitute “interested stockholders” for purposes of this provision. </w:t>
      </w:r>
    </w:p>
    <w:p>
      <w:pPr>
        <w:pStyle w:val="TextBody"/>
        <w:bidi w:val="0"/>
        <w:spacing w:before="240" w:after="0"/>
        <w:jc w:val="left"/>
        <w:rPr>
          <w:rFonts w:ascii="Times New Roman" w:hAnsi="Times New Roman"/>
          <w:sz w:val="20"/>
        </w:rPr>
      </w:pPr>
      <w:r>
        <w:rPr>
          <w:rFonts w:ascii="Times New Roman" w:hAnsi="Times New Roman"/>
          <w:sz w:val="20"/>
        </w:rPr>
        <w:t xml:space="preserve">Any provision of our Amended Charter, Amended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market price of our common stock has been, and may continue to be, volatile which could reduce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publicly traded shares of our common stock have experienced, and may experience in the future, significant price and volume fluctuations. This market volatility could reduce the market price of our common stock without regard to our operating performance. In addition, the trading price of our common stock could change significantly in response to actual or anticipated variations in our quarterly operating results, announcements by us or our competitors, changes in national or regional economic conditions, changes in securities analysts’ estimates for us or our competitors’ or industry’s future performance or general market conditions. These factors could make it more difficult for shares of our common stock to be sold at a favorable price, or at all. Furthermore, general market declines or stock volatility within our particular industry could reduce the market price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tx321536_4"/>
      <w:bookmarkEnd w:id="6"/>
      <w:r>
        <w:rPr>
          <w:rFonts w:ascii="Times New Roman" w:hAnsi="Times New Roman"/>
          <w:b/>
          <w:sz w:val="20"/>
        </w:rPr>
        <w:t xml:space="preserve">CAUTIONARY STATEMENT ABOUT FORWARD-LOOKING INFORMATION </w:t>
      </w:r>
    </w:p>
    <w:p>
      <w:pPr>
        <w:pStyle w:val="TextBody"/>
        <w:bidi w:val="0"/>
        <w:spacing w:before="240" w:after="0"/>
        <w:jc w:val="left"/>
        <w:rPr>
          <w:rFonts w:ascii="Times New Roman" w:hAnsi="Times New Roman"/>
          <w:sz w:val="20"/>
        </w:rPr>
      </w:pPr>
      <w:r>
        <w:rPr>
          <w:rFonts w:ascii="Times New Roman" w:hAnsi="Times New Roman"/>
          <w:sz w:val="20"/>
        </w:rPr>
        <w:t>Certain of the statements contained in this prospectus supplement, accompanying prospectus and in documents and information incorporated by reference herein and therein are “forward-looking” statements as defined in the Private Securities Litigation Reform Act of 1995 (“</w:t>
      </w:r>
      <w:r>
        <w:rPr>
          <w:rFonts w:ascii="Times New Roman" w:hAnsi="Times New Roman"/>
          <w:sz w:val="20"/>
          <w:u w:val="single"/>
        </w:rPr>
        <w:t>PSLRA</w:t>
      </w:r>
      <w:r>
        <w:rPr>
          <w:rFonts w:ascii="Times New Roman" w:hAnsi="Times New Roman"/>
          <w:sz w:val="20"/>
        </w:rPr>
        <w:t>”), Section 27A of the Securities Act, and Section 21E of the Securities Exchange Act of 1934, as amended (the “</w:t>
      </w:r>
      <w:r>
        <w:rPr>
          <w:rFonts w:ascii="Times New Roman" w:hAnsi="Times New Roman"/>
          <w:sz w:val="20"/>
          <w:u w:val="single"/>
        </w:rPr>
        <w:t>Exchange Act</w:t>
      </w:r>
      <w:r>
        <w:rPr>
          <w:rFonts w:ascii="Times New Roman" w:hAnsi="Times New Roman"/>
          <w:sz w:val="20"/>
        </w:rPr>
        <w:t xml:space="preserve">”). Forward-looking statements include statements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Forward-looking statements may include, but are not limited to, statements relating to our objectives, plans and strategies as well as statements, other than historical facts, that address activities, events or developments that we intend, expect, project, believe or anticipate will or may occur in the future. These statements are often characterized by terminology such as “may,” “will,” “should,” “expects,” “plans,” “anticipates,” “could,” “intends,” “target,” “projects,” “contemplates,” “believes,” “estimates,” “predicts,” “potential,” or “continue” or the negative of these terms or other similar expressions.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described in “Item 1A-Risk Factors” of our Annual Report on Form 10-K for the fiscal year ended January 3, 2026, which is incorporated by reference in this prospectus supplement and the accompanying prospectus, as well as the other risks described herein and in the other documents incorporated by reference in this prospectus supplement. We do not undertake any obligation to update forward-looking statements, except to the extent required by applicable law. We intend that all forward-looking statements be subject to the safe-harbor provisions of the PSLRA. These forward-looking statements are only predictions and reflect our views as of the date they are made with respect to future events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the occurrence of which could adversely affect our business,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intense competition among home health, hospice and durable medical equipment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relationships with existing patient referral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have services funded from third-party payers, including Medicare, Medicaid and private health insurance companies, including as a result of changes to Medicaid to be implemented under the One Big Beautiful Bill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Medicare or Medicaid rates or methods governing Medicare or Medicaid payments, and the implementation of alternative payment models, including but not limited to Medicare Advantage, Managed Care Organization, managed Medicaid, and other forms of managed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downward pressure on reimbursement resulting from further proliferation of Medicare Advantage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ability to control reimbursement rates received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collection or non-collection of our patient accounts receivable, particularly during the business integration process, or when transitioning between systems associated with clinical data collection and submission, as well as billing and collection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reform and other regulations, including risks related to the final rule issued for the home health prospective payment system by Centers for Medicare &amp; Medicaid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case-mix of our patients, as well as payer mix and payment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reduction in net reimbursement if we do not effectively implement value-based 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our business, financial condition and results of operations may be materially adversely affected by public health emergencies, such as a pandemic or other infectious disease outbreak;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shortages in qualified employees and management and competition for qualified personnel;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the security and functionality of our information systems or to defend against or otherwise prevent a cybersecurity attack or breach;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substantial indebtedness, which increases our vulnerability to general adverse economic and industry conditions and may limit our ability to pursue strategic alternatives and react to changes in our business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obtain financing for, acquire and integrate strategic and accretive businesses or assets, including in connection with our acquisition of Family First Holding, LLC;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legal proceedings, claims and governmental inquiries given that the nature of our business exposes us to various liability claims, which may exceed the level of our insurance coverage.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there can be no assurance that the forward-looking statements contained herein will occur or that objectives will be achieved, and all such forward-looking statements are expressly qualified in their entirety by the factors above, as well as those contained in the “Risk Factors” sections of the reports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tx321536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the sale of shares of common stock by the Selling Stockholders. </w:t>
      </w:r>
    </w:p>
    <w:p>
      <w:pPr>
        <w:pStyle w:val="TextBody"/>
        <w:bidi w:val="0"/>
        <w:spacing w:before="0" w:after="0"/>
        <w:jc w:val="left"/>
        <w:rPr>
          <w:rFonts w:ascii="Times New Roman" w:hAnsi="Times New Roman"/>
          <w:sz w:val="20"/>
        </w:rPr>
      </w:pPr>
      <w:r>
        <w:rPr>
          <w:rFonts w:ascii="Times New Roman" w:hAnsi="Times New Roman"/>
          <w:sz w:val="20"/>
        </w:rPr>
        <w:t xml:space="preserve">However, we will pay the offering expenses, other than underwriting discounts and commissions, incurred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tx321536_6"/>
      <w:bookmarkEnd w:id="8"/>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below table and its accompanying footnotes set forth information with respect to the beneficial ownership of our common stock as of August 18, 2026,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affiliates of J.H. Whitney Equity Partners VII and Robert M. Williams Jr. acquired their respective shares of common stock in connection with various transactions prior to, and in advance of, our April 2021 initial public offering. Robert M. Williams Jr., a Selling Stockholder and a senior managing director at Whitney, one of our Sponsors, previously served as a member of our Board of Directors from our formation in 2017 to February 2026. A description of our other material relationships with the Selling Stockholders and their affiliates is set forth in “—Other Material Relationships.” </w:t>
      </w:r>
    </w:p>
    <w:p>
      <w:pPr>
        <w:pStyle w:val="TextBody"/>
        <w:bidi w:val="0"/>
        <w:spacing w:before="240" w:after="0"/>
        <w:jc w:val="left"/>
        <w:rPr>
          <w:rFonts w:ascii="Times New Roman" w:hAnsi="Times New Roman"/>
          <w:sz w:val="20"/>
        </w:rPr>
      </w:pPr>
      <w:r>
        <w:rPr>
          <w:rFonts w:ascii="Times New Roman" w:hAnsi="Times New Roman"/>
          <w:sz w:val="20"/>
        </w:rPr>
        <w:t xml:space="preserve">Rodney D. Windley currently serves as the Chairman of our Board of Directors, Jeff Shaner currently serves as our Chief Executive Officer and as a member of our Board of Directors and Ed Reisz currently serves as our Chief Administrative Officer. </w:t>
      </w:r>
    </w:p>
    <w:p>
      <w:pPr>
        <w:pStyle w:val="TextBody"/>
        <w:bidi w:val="0"/>
        <w:spacing w:before="240" w:after="0"/>
        <w:jc w:val="left"/>
        <w:rPr>
          <w:rFonts w:ascii="Times New Roman" w:hAnsi="Times New Roman"/>
          <w:sz w:val="20"/>
        </w:rPr>
      </w:pPr>
      <w:r>
        <w:rPr>
          <w:rFonts w:ascii="Times New Roman" w:hAnsi="Times New Roman"/>
          <w:sz w:val="20"/>
        </w:rPr>
        <w:t xml:space="preserve">Tony Strange previously served as our Chief Executive Officer and as a member of our Board of Directors from our formation in 2017 until December 2022. </w:t>
      </w:r>
    </w:p>
    <w:p>
      <w:pPr>
        <w:pStyle w:val="TextBody"/>
        <w:bidi w:val="0"/>
        <w:spacing w:before="240" w:after="0"/>
        <w:jc w:val="left"/>
        <w:rPr>
          <w:rFonts w:ascii="Times New Roman" w:hAnsi="Times New Roman"/>
          <w:sz w:val="20"/>
        </w:rPr>
      </w:pPr>
      <w:r>
        <w:rPr>
          <w:rFonts w:ascii="Times New Roman" w:hAnsi="Times New Roman"/>
          <w:sz w:val="20"/>
        </w:rPr>
        <w:t>The amounts and percentages of our common stock beneficially owned are reported on the basis of rules of the SEC governing the determination of beneficial ownership of securities. Under these rules, a person is deemed to be a “beneficial owner” of a security if that person has or shares “voting power,” which includes the power to vote or direct the voting of such security, or “investment power,” which includes the power to dispose of or to direct the disposition of such security. A person is also deemed to be a beneficial owner of any securities of which that person has a right to acquire within 60 days after August 18, 2026, including pursuant to the exercise of options or other derivative securities. Securities that can be so acquired are deemed to be outstanding for purposes of computing such person’s ownership percentage but not for purposes of computing any other person’s percentage. More than one person may be deemed to be a beneficial owner of the same securities. Unless otherwise indicated below, to our knowledge, all persons listed below have sole voting and investment power with respect to their shares of common stock, except to the extent authority is shared by spouses under applicable law.</w:t>
      </w:r>
    </w:p>
    <w:p>
      <w:pPr>
        <w:pStyle w:val="TextBody"/>
        <w:bidi w:val="0"/>
        <w:spacing w:before="240" w:after="0"/>
        <w:jc w:val="left"/>
        <w:rPr>
          <w:rFonts w:ascii="Times New Roman" w:hAnsi="Times New Roman"/>
          <w:sz w:val="20"/>
        </w:rPr>
      </w:pPr>
      <w:r>
        <w:rPr>
          <w:rFonts w:ascii="Times New Roman" w:hAnsi="Times New Roman"/>
          <w:sz w:val="20"/>
        </w:rPr>
        <w:t xml:space="preserve">The percentages set forth below reflect beneficial ownership determined in accordance with Rule 13d-3 under the Exchange Act, based on 218,290,683 shares of our common stock outstanding as of August 18, 2026, (1) immediately prior to completion of the offering, (2) immediately after completion of the offering and (3) immediately after completion of this offering after giving effect to this offering and assuming full exercise of the underwriter’s option to purchase additional shares from certain of the Whitney Selling Stockholders. </w:t>
      </w:r>
    </w:p>
    <w:p>
      <w:pPr>
        <w:pStyle w:val="TextBody"/>
        <w:bidi w:val="0"/>
        <w:spacing w:before="0" w:after="0"/>
        <w:jc w:val="left"/>
        <w:rPr/>
      </w:pPr>
      <w:r>
        <w:rPr/>
        <w:t> </w:t>
      </w:r>
    </w:p>
    <w:tbl>
      <w:tblPr>
        <w:tblW w:w="14885" w:type="dxa"/>
        <w:jc w:val="center"/>
        <w:tblInd w:w="0" w:type="dxa"/>
        <w:tblLayout w:type="fixed"/>
        <w:tblCellMar>
          <w:top w:w="0" w:type="dxa"/>
          <w:left w:w="0" w:type="dxa"/>
          <w:bottom w:w="0" w:type="dxa"/>
          <w:right w:w="0" w:type="dxa"/>
        </w:tblCellMar>
      </w:tblPr>
      <w:tblGrid>
        <w:gridCol w:w="2075"/>
        <w:gridCol w:w="120"/>
        <w:gridCol w:w="60"/>
        <w:gridCol w:w="1100"/>
        <w:gridCol w:w="60"/>
        <w:gridCol w:w="120"/>
        <w:gridCol w:w="153"/>
        <w:gridCol w:w="1127"/>
        <w:gridCol w:w="275"/>
        <w:gridCol w:w="60"/>
        <w:gridCol w:w="60"/>
        <w:gridCol w:w="1100"/>
        <w:gridCol w:w="350"/>
        <w:gridCol w:w="60"/>
        <w:gridCol w:w="110"/>
        <w:gridCol w:w="2027"/>
        <w:gridCol w:w="110"/>
        <w:gridCol w:w="221"/>
        <w:gridCol w:w="200"/>
        <w:gridCol w:w="1080"/>
        <w:gridCol w:w="275"/>
        <w:gridCol w:w="60"/>
        <w:gridCol w:w="113"/>
        <w:gridCol w:w="2075"/>
        <w:gridCol w:w="113"/>
        <w:gridCol w:w="226"/>
        <w:gridCol w:w="201"/>
        <w:gridCol w:w="1079"/>
        <w:gridCol w:w="275"/>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620" w:type="dxa"/>
            <w:gridSpan w:val="6"/>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Beneficially Owned</w:t>
            </w:r>
            <w:r>
              <w:rPr/>
              <w:br/>
            </w:r>
            <w:r>
              <w:rPr>
                <w:b/>
              </w:rPr>
              <w:t>Before this Offering</w:t>
            </w:r>
          </w:p>
        </w:tc>
        <w:tc>
          <w:tcPr>
            <w:tcW w:w="275" w:type="dxa"/>
            <w:tcBorders/>
            <w:vAlign w:val="bottom"/>
          </w:tcPr>
          <w:p>
            <w:pPr>
              <w:pStyle w:val="TableContents"/>
              <w:bidi w:val="0"/>
              <w:spacing w:before="0" w:after="283"/>
              <w:jc w:val="left"/>
              <w:rPr/>
            </w:pPr>
            <w:r>
              <w:rPr/>
              <w:t> </w:t>
            </w:r>
          </w:p>
        </w:tc>
        <w:tc>
          <w:tcPr>
            <w:tcW w:w="60" w:type="dxa"/>
            <w:vMerge w:val="restart"/>
            <w:tcBorders/>
            <w:vAlign w:val="bottom"/>
          </w:tcPr>
          <w:p>
            <w:pPr>
              <w:pStyle w:val="TableContents"/>
              <w:bidi w:val="0"/>
              <w:spacing w:before="0" w:after="283"/>
              <w:jc w:val="left"/>
              <w:rPr/>
            </w:pPr>
            <w:r>
              <w:rPr/>
              <w:t> </w:t>
            </w:r>
          </w:p>
        </w:tc>
        <w:tc>
          <w:tcPr>
            <w:tcW w:w="1160" w:type="dxa"/>
            <w:gridSpan w:val="2"/>
            <w:vMerge w:val="restart"/>
            <w:tcBorders>
              <w:bottom w:val="single" w:sz="8" w:space="0" w:color="000000"/>
            </w:tcBorders>
            <w:tcMar>
              <w:bottom w:w="28" w:type="dxa"/>
            </w:tcMar>
            <w:vAlign w:val="bottom"/>
          </w:tcPr>
          <w:p>
            <w:pPr>
              <w:pStyle w:val="TableContents"/>
              <w:bidi w:val="0"/>
              <w:spacing w:before="0" w:after="283"/>
              <w:jc w:val="center"/>
              <w:rPr/>
            </w:pPr>
            <w:r>
              <w:rPr>
                <w:b/>
              </w:rPr>
              <w:t>Shares</w:t>
            </w:r>
            <w:r>
              <w:rPr/>
              <w:br/>
            </w:r>
            <w:r>
              <w:rPr>
                <w:b/>
              </w:rPr>
              <w:t>Being</w:t>
            </w:r>
            <w:r>
              <w:rPr/>
              <w:br/>
            </w:r>
            <w:r>
              <w:rPr>
                <w:b/>
              </w:rPr>
              <w:t>Sold in this</w:t>
            </w:r>
            <w:r>
              <w:rPr/>
              <w:br/>
            </w:r>
            <w:r>
              <w:rPr>
                <w:b/>
              </w:rPr>
              <w:t>Offering</w:t>
            </w:r>
          </w:p>
        </w:tc>
        <w:tc>
          <w:tcPr>
            <w:tcW w:w="350" w:type="dxa"/>
            <w:vMerge w:val="restart"/>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48" w:type="dxa"/>
            <w:gridSpan w:val="6"/>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Beneficially Owned</w:t>
            </w:r>
            <w:r>
              <w:rPr/>
              <w:br/>
            </w:r>
            <w:r>
              <w:rPr>
                <w:b/>
              </w:rPr>
              <w:t>After this Offering</w:t>
            </w:r>
            <w:r>
              <w:rPr/>
              <w:br/>
            </w:r>
            <w:r>
              <w:rPr>
                <w:b/>
              </w:rPr>
              <w:t>(assuming no exercise of option)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7" w:type="dxa"/>
            <w:gridSpan w:val="6"/>
            <w:tcBorders>
              <w:bottom w:val="single" w:sz="8" w:space="0" w:color="000000"/>
            </w:tcBorders>
            <w:tcMar>
              <w:bottom w:w="28" w:type="dxa"/>
            </w:tcMar>
            <w:vAlign w:val="bottom"/>
          </w:tcPr>
          <w:p>
            <w:pPr>
              <w:pStyle w:val="TableContents"/>
              <w:bidi w:val="0"/>
              <w:spacing w:before="0" w:after="283"/>
              <w:jc w:val="center"/>
              <w:rPr/>
            </w:pPr>
            <w:r>
              <w:rPr>
                <w:b/>
              </w:rPr>
              <w:t>Common Stock</w:t>
            </w:r>
            <w:r>
              <w:rPr/>
              <w:br/>
            </w:r>
            <w:r>
              <w:rPr>
                <w:b/>
              </w:rPr>
              <w:t>Beneficially Owned</w:t>
            </w:r>
            <w:r>
              <w:rPr/>
              <w:br/>
            </w:r>
            <w:r>
              <w:rPr>
                <w:b/>
              </w:rPr>
              <w:t>After this Offering</w:t>
            </w:r>
            <w:r>
              <w:rPr/>
              <w:br/>
            </w:r>
            <w:r>
              <w:rPr>
                <w:b/>
              </w:rPr>
              <w:t>(assuming full exercise of option)</w:t>
            </w:r>
          </w:p>
        </w:tc>
        <w:tc>
          <w:tcPr>
            <w:tcW w:w="275" w:type="dxa"/>
            <w:tcBorders/>
            <w:vAlign w:val="bottom"/>
          </w:tcPr>
          <w:p>
            <w:pPr>
              <w:pStyle w:val="TableContents"/>
              <w:bidi w:val="0"/>
              <w:spacing w:before="0" w:after="283"/>
              <w:jc w:val="left"/>
              <w:rPr/>
            </w:pPr>
            <w:r>
              <w:rPr/>
              <w:t> </w:t>
            </w:r>
          </w:p>
        </w:tc>
      </w:tr>
      <w:tr>
        <w:trPr/>
        <w:tc>
          <w:tcPr>
            <w:tcW w:w="207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Name of Selling Stockholder</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r>
              <w:rPr/>
              <w:br/>
            </w:r>
            <w:r>
              <w:rPr>
                <w:b/>
              </w:rPr>
              <w:t>Outstanding</w:t>
            </w:r>
            <w:r>
              <w:rPr/>
              <w:br/>
            </w:r>
            <w:r>
              <w:rPr>
                <w:b/>
              </w:rPr>
              <w:t>Common</w:t>
            </w:r>
            <w:r>
              <w:rPr/>
              <w:br/>
            </w:r>
            <w:r>
              <w:rPr>
                <w:b/>
              </w:rPr>
              <w:t>Stock (%)</w:t>
            </w:r>
          </w:p>
        </w:tc>
        <w:tc>
          <w:tcPr>
            <w:tcW w:w="275" w:type="dxa"/>
            <w:tcBorders/>
            <w:vAlign w:val="bottom"/>
          </w:tcPr>
          <w:p>
            <w:pPr>
              <w:pStyle w:val="TableContents"/>
              <w:bidi w:val="0"/>
              <w:spacing w:before="0" w:after="283"/>
              <w:jc w:val="left"/>
              <w:rPr/>
            </w:pPr>
            <w:r>
              <w:rPr/>
              <w:t> </w:t>
            </w:r>
          </w:p>
        </w:tc>
        <w:tc>
          <w:tcPr>
            <w:tcW w:w="60" w:type="dxa"/>
            <w:vMerge w:val="continue"/>
            <w:tcBorders/>
            <w:vAlign w:val="bottom"/>
          </w:tcPr>
          <w:p>
            <w:pPr>
              <w:pStyle w:val="Normal"/>
              <w:bidi w:val="0"/>
              <w:jc w:val="left"/>
              <w:rPr/>
            </w:pPr>
            <w:r>
              <w:rPr/>
            </w:r>
          </w:p>
        </w:tc>
        <w:tc>
          <w:tcPr>
            <w:tcW w:w="1160" w:type="dxa"/>
            <w:gridSpan w:val="2"/>
            <w:vMerge w:val="continue"/>
            <w:tcBorders>
              <w:bottom w:val="single" w:sz="8" w:space="0" w:color="000000"/>
            </w:tcBorders>
            <w:tcMar>
              <w:bottom w:w="28" w:type="dxa"/>
            </w:tcMar>
            <w:vAlign w:val="bottom"/>
          </w:tcPr>
          <w:p>
            <w:pPr>
              <w:pStyle w:val="Normal"/>
              <w:bidi w:val="0"/>
              <w:jc w:val="left"/>
              <w:rPr/>
            </w:pPr>
            <w:r>
              <w:rPr/>
            </w:r>
          </w:p>
        </w:tc>
        <w:tc>
          <w:tcPr>
            <w:tcW w:w="350" w:type="dxa"/>
            <w:vMerge w:val="continue"/>
            <w:tcBorders/>
            <w:vAlign w:val="bottom"/>
          </w:tcPr>
          <w:p>
            <w:pPr>
              <w:pStyle w:val="Normal"/>
              <w:bidi w:val="0"/>
              <w:jc w:val="left"/>
              <w:rPr/>
            </w:pPr>
            <w:r>
              <w:rPr/>
            </w:r>
          </w:p>
        </w:tc>
        <w:tc>
          <w:tcPr>
            <w:tcW w:w="60" w:type="dxa"/>
            <w:tcBorders/>
            <w:vAlign w:val="bottom"/>
          </w:tcPr>
          <w:p>
            <w:pPr>
              <w:pStyle w:val="TableContents"/>
              <w:bidi w:val="0"/>
              <w:spacing w:before="0" w:after="283"/>
              <w:jc w:val="left"/>
              <w:rPr/>
            </w:pPr>
            <w:r>
              <w:rPr/>
              <w:t> </w:t>
            </w:r>
          </w:p>
        </w:tc>
        <w:tc>
          <w:tcPr>
            <w:tcW w:w="2137"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1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r>
              <w:rPr/>
              <w:br/>
            </w:r>
            <w:r>
              <w:rPr>
                <w:b/>
              </w:rPr>
              <w:t>Outstanding</w:t>
            </w:r>
            <w:r>
              <w:rPr/>
              <w:br/>
            </w:r>
            <w:r>
              <w:rPr>
                <w:b/>
              </w:rPr>
              <w:t>Common</w:t>
            </w:r>
            <w:r>
              <w:rPr/>
              <w:br/>
            </w:r>
            <w:r>
              <w:rPr>
                <w:b/>
              </w:rPr>
              <w:t>Stock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8"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Shares</w:t>
            </w:r>
          </w:p>
        </w:tc>
        <w:tc>
          <w:tcPr>
            <w:tcW w:w="11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Percentage</w:t>
            </w:r>
            <w:r>
              <w:rPr/>
              <w:br/>
            </w:r>
            <w:r>
              <w:rPr>
                <w:b/>
              </w:rPr>
              <w:t>of Total</w:t>
            </w:r>
            <w:r>
              <w:rPr/>
              <w:br/>
            </w:r>
            <w:r>
              <w:rPr>
                <w:b/>
              </w:rPr>
              <w:t>Outstanding</w:t>
            </w:r>
            <w:r>
              <w:rPr/>
              <w:br/>
            </w:r>
            <w:r>
              <w:rPr>
                <w:b/>
              </w:rPr>
              <w:t>Common</w:t>
            </w:r>
            <w:r>
              <w:rPr/>
              <w:br/>
            </w:r>
            <w:r>
              <w:rPr>
                <w:b/>
              </w:rPr>
              <w:t>Stock (%)</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Sponsor Affiliates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2027"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sz w:val="4"/>
                <w:szCs w:val="4"/>
              </w:rPr>
            </w:pPr>
            <w:r>
              <w:rPr>
                <w:sz w:val="4"/>
                <w:szCs w:val="4"/>
              </w:rPr>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sz w:val="4"/>
                <w:szCs w:val="4"/>
              </w:rPr>
            </w:pPr>
            <w:r>
              <w:rPr>
                <w:sz w:val="4"/>
                <w:szCs w:val="4"/>
              </w:rPr>
            </w:r>
          </w:p>
        </w:tc>
        <w:tc>
          <w:tcPr>
            <w:tcW w:w="108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075" w:type="dxa"/>
            <w:tcBorders/>
            <w:shd w:fill="CCEEFF" w:val="clear"/>
            <w:vAlign w:val="bottom"/>
          </w:tcPr>
          <w:p>
            <w:pPr>
              <w:pStyle w:val="TableContents"/>
              <w:bidi w:val="0"/>
              <w:spacing w:before="0" w:after="283"/>
              <w:jc w:val="left"/>
              <w:rPr>
                <w:sz w:val="4"/>
                <w:szCs w:val="4"/>
              </w:rPr>
            </w:pPr>
            <w:r>
              <w:rPr>
                <w:sz w:val="4"/>
                <w:szCs w:val="4"/>
              </w:rPr>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sz w:val="4"/>
                <w:szCs w:val="4"/>
              </w:rPr>
            </w:pPr>
            <w:r>
              <w:rPr>
                <w:sz w:val="4"/>
                <w:szCs w:val="4"/>
              </w:rPr>
            </w:r>
          </w:p>
        </w:tc>
        <w:tc>
          <w:tcPr>
            <w:tcW w:w="1079"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J.H. Whitney Equity Partners VII(1)</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27,061,969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12.4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12,496,077</w:t>
            </w:r>
          </w:p>
        </w:tc>
        <w:tc>
          <w:tcPr>
            <w:tcW w:w="350" w:type="dxa"/>
            <w:tcBorders/>
            <w:vAlign w:val="bottom"/>
          </w:tcPr>
          <w:p>
            <w:pPr>
              <w:pStyle w:val="TableContents"/>
              <w:bidi w:val="0"/>
              <w:spacing w:before="0" w:after="283"/>
              <w:jc w:val="left"/>
              <w:rPr/>
            </w:pPr>
            <w:r>
              <w:rPr/>
              <w:t>(2)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027" w:type="dxa"/>
            <w:tcBorders/>
            <w:vAlign w:val="bottom"/>
          </w:tcPr>
          <w:p>
            <w:pPr>
              <w:pStyle w:val="TableContents"/>
              <w:bidi w:val="0"/>
              <w:spacing w:before="0" w:after="283"/>
              <w:jc w:val="right"/>
              <w:rPr/>
            </w:pPr>
            <w:r>
              <w:rPr/>
              <w:t>14,565,892</w:t>
            </w:r>
          </w:p>
        </w:tc>
        <w:tc>
          <w:tcPr>
            <w:tcW w:w="1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6.7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12,315,892</w:t>
            </w:r>
          </w:p>
        </w:tc>
        <w:tc>
          <w:tcPr>
            <w:tcW w:w="11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5.6</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M. Williams Jr.(3)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2,003,923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2,003,923</w:t>
            </w:r>
          </w:p>
        </w:tc>
        <w:tc>
          <w:tcPr>
            <w:tcW w:w="350" w:type="dxa"/>
            <w:tcBorders/>
            <w:shd w:fill="CCEEFF" w:val="clear"/>
            <w:vAlign w:val="bottom"/>
          </w:tcPr>
          <w:p>
            <w:pPr>
              <w:pStyle w:val="TableContents"/>
              <w:bidi w:val="0"/>
              <w:spacing w:before="0" w:after="283"/>
              <w:jc w:val="left"/>
              <w:rPr/>
            </w:pPr>
            <w:r>
              <w:rPr/>
              <w:t>(4)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b/>
                <w:sz w:val="20"/>
              </w:rPr>
            </w:pPr>
            <w:r>
              <w:rPr>
                <w:rFonts w:ascii="Times New Roman" w:hAnsi="Times New Roman"/>
                <w:b/>
                <w:sz w:val="20"/>
              </w:rPr>
              <w:t>Directors and Officers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202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207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Jeff Shaner(5)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4,567,540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4,477,540</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4,477,540</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2.1</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sz w:val="20"/>
              </w:rPr>
            </w:pPr>
            <w:r>
              <w:rPr>
                <w:rFonts w:ascii="Times New Roman" w:hAnsi="Times New Roman"/>
                <w:sz w:val="20"/>
              </w:rPr>
              <w:t>Rodney D. Windley(6)</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4,174,665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1.9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180,000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2027" w:type="dxa"/>
            <w:tcBorders/>
            <w:vAlign w:val="bottom"/>
          </w:tcPr>
          <w:p>
            <w:pPr>
              <w:pStyle w:val="TableContents"/>
              <w:bidi w:val="0"/>
              <w:spacing w:before="0" w:after="283"/>
              <w:jc w:val="right"/>
              <w:rPr/>
            </w:pPr>
            <w:r>
              <w:rPr/>
              <w:t>3,994,665</w:t>
            </w:r>
          </w:p>
        </w:tc>
        <w:tc>
          <w:tcPr>
            <w:tcW w:w="110"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080"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right"/>
              <w:rPr/>
            </w:pPr>
            <w:r>
              <w:rPr/>
              <w:t>3,994,665</w:t>
            </w:r>
          </w:p>
        </w:tc>
        <w:tc>
          <w:tcPr>
            <w:tcW w:w="113"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079" w:type="dxa"/>
            <w:tcBorders/>
            <w:vAlign w:val="bottom"/>
          </w:tcPr>
          <w:p>
            <w:pPr>
              <w:pStyle w:val="TableContents"/>
              <w:bidi w:val="0"/>
              <w:spacing w:before="0" w:after="283"/>
              <w:jc w:val="right"/>
              <w:rPr/>
            </w:pPr>
            <w:r>
              <w:rPr/>
              <w:t>1.8</w:t>
            </w:r>
          </w:p>
        </w:tc>
        <w:tc>
          <w:tcPr>
            <w:tcW w:w="275" w:type="dxa"/>
            <w:tcBorders/>
            <w:vAlign w:val="bottom"/>
          </w:tcPr>
          <w:p>
            <w:pPr>
              <w:pStyle w:val="TableContents"/>
              <w:bidi w:val="0"/>
              <w:spacing w:before="0" w:after="283"/>
              <w:jc w:val="left"/>
              <w:rPr/>
            </w:pPr>
            <w:r>
              <w:rPr/>
              <w:t>% </w:t>
            </w:r>
          </w:p>
        </w:tc>
      </w:tr>
      <w:tr>
        <w:trPr/>
        <w:tc>
          <w:tcPr>
            <w:tcW w:w="207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Ed Reisz(7)</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2,208,177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2,158,177</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2,158,177</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1.0</w:t>
            </w:r>
          </w:p>
        </w:tc>
        <w:tc>
          <w:tcPr>
            <w:tcW w:w="275" w:type="dxa"/>
            <w:tcBorders/>
            <w:shd w:fill="CCEEFF" w:val="clear"/>
            <w:vAlign w:val="bottom"/>
          </w:tcPr>
          <w:p>
            <w:pPr>
              <w:pStyle w:val="TableContents"/>
              <w:bidi w:val="0"/>
              <w:spacing w:before="0" w:after="283"/>
              <w:jc w:val="left"/>
              <w:rPr/>
            </w:pPr>
            <w:r>
              <w:rPr/>
              <w:t>% </w:t>
            </w:r>
          </w:p>
        </w:tc>
      </w:tr>
      <w:tr>
        <w:trPr/>
        <w:tc>
          <w:tcPr>
            <w:tcW w:w="2075"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sz w:val="4"/>
                <w:szCs w:val="4"/>
              </w:rPr>
            </w:pPr>
            <w:r>
              <w:rPr>
                <w:sz w:val="4"/>
                <w:szCs w:val="4"/>
              </w:rPr>
            </w:r>
          </w:p>
        </w:tc>
        <w:tc>
          <w:tcPr>
            <w:tcW w:w="2027"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sz w:val="4"/>
                <w:szCs w:val="4"/>
              </w:rPr>
            </w:pPr>
            <w:r>
              <w:rPr>
                <w:sz w:val="4"/>
                <w:szCs w:val="4"/>
              </w:rPr>
            </w:r>
          </w:p>
        </w:tc>
        <w:tc>
          <w:tcPr>
            <w:tcW w:w="108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sz w:val="4"/>
                <w:szCs w:val="4"/>
              </w:rPr>
            </w:pPr>
            <w:r>
              <w:rPr>
                <w:sz w:val="4"/>
                <w:szCs w:val="4"/>
              </w:rPr>
            </w:r>
          </w:p>
        </w:tc>
        <w:tc>
          <w:tcPr>
            <w:tcW w:w="2075" w:type="dxa"/>
            <w:tcBorders/>
            <w:vAlign w:val="bottom"/>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226"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sz w:val="4"/>
                <w:szCs w:val="4"/>
              </w:rPr>
            </w:pPr>
            <w:r>
              <w:rPr>
                <w:sz w:val="4"/>
                <w:szCs w:val="4"/>
              </w:rPr>
            </w:r>
          </w:p>
        </w:tc>
        <w:tc>
          <w:tcPr>
            <w:tcW w:w="107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207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Tony Strange(8)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3,736,986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180,000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2027" w:type="dxa"/>
            <w:tcBorders/>
            <w:shd w:fill="CCEEFF" w:val="clear"/>
            <w:vAlign w:val="bottom"/>
          </w:tcPr>
          <w:p>
            <w:pPr>
              <w:pStyle w:val="TableContents"/>
              <w:bidi w:val="0"/>
              <w:spacing w:before="0" w:after="283"/>
              <w:jc w:val="right"/>
              <w:rPr/>
            </w:pPr>
            <w:r>
              <w:rPr/>
              <w:t>3,556,986</w:t>
            </w:r>
          </w:p>
        </w:tc>
        <w:tc>
          <w:tcPr>
            <w:tcW w:w="110"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1080"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2075" w:type="dxa"/>
            <w:tcBorders/>
            <w:shd w:fill="CCEEFF" w:val="clear"/>
            <w:vAlign w:val="bottom"/>
          </w:tcPr>
          <w:p>
            <w:pPr>
              <w:pStyle w:val="TableContents"/>
              <w:bidi w:val="0"/>
              <w:spacing w:before="0" w:after="283"/>
              <w:jc w:val="right"/>
              <w:rPr/>
            </w:pPr>
            <w:r>
              <w:rPr/>
              <w:t>3,556,986</w:t>
            </w:r>
          </w:p>
        </w:tc>
        <w:tc>
          <w:tcPr>
            <w:tcW w:w="113"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079"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Includes (i) 10,112,125 shares registered in the name of J.H. Whitney VII, L.P., (ii) 15,523,810 shares registered in the name of PSA Healthcare Investment Holding LLC, and (iii) 1,426,034 shares registered in the name of PSA Iliad Holdings LLC (together, the “</w:t>
            </w:r>
            <w:r>
              <w:rPr>
                <w:rFonts w:ascii="Times New Roman" w:hAnsi="Times New Roman"/>
                <w:sz w:val="20"/>
                <w:u w:val="single"/>
              </w:rPr>
              <w:t>J.H. Whitney Entities</w:t>
            </w:r>
            <w:r>
              <w:rPr>
                <w:rFonts w:ascii="Times New Roman" w:hAnsi="Times New Roman"/>
                <w:sz w:val="20"/>
              </w:rPr>
              <w:t xml:space="preserve">”). The governance, investment strategy and decision-making process with respect to investments held by the J.H. Whitney Entities is directed by J.H. Whitney Equity Partners VII, LLC. As a result, J.H. Whitney Equity Partners VII, LLC may be deemed to share voting and dispositive power with respect to the shares held by the J.H. Whitney Entities. Each of the J.H. Whitney Entities has an address c/o J.H. Whitney Capital Partners, LLC, 212 Elm Street, New Canaan, Connecticut 06840.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10,112,125 shares registered in the name of J.H. Whitney VII, L.P., (ii) 1,426,034 shares registered in the name of PSA Iliad Holdings LLC and (iii) 957,918 shares registered in the name of PSA Healthcare Investment Holding LLC.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Does not include shares held by the J.H. Whitney Entities but includes 1,813,794 shares held by JHW Iliad Holdings LLC (“</w:t>
            </w:r>
            <w:r>
              <w:rPr>
                <w:rFonts w:ascii="Times New Roman" w:hAnsi="Times New Roman"/>
                <w:sz w:val="20"/>
                <w:u w:val="single"/>
              </w:rPr>
              <w:t>JHW Iliad</w:t>
            </w:r>
            <w:r>
              <w:rPr>
                <w:rFonts w:ascii="Times New Roman" w:hAnsi="Times New Roman"/>
                <w:sz w:val="20"/>
              </w:rPr>
              <w:t>”) and 190,129 shares held by JHW Iliad Holdings II LLC (“</w:t>
            </w:r>
            <w:r>
              <w:rPr>
                <w:rFonts w:ascii="Times New Roman" w:hAnsi="Times New Roman"/>
                <w:sz w:val="20"/>
                <w:u w:val="single"/>
              </w:rPr>
              <w:t>JHW Iliad II</w:t>
            </w:r>
            <w:r>
              <w:rPr>
                <w:rFonts w:ascii="Times New Roman" w:hAnsi="Times New Roman"/>
                <w:sz w:val="20"/>
              </w:rPr>
              <w:t>”). Project Iliad Managing Member, LLC (“</w:t>
            </w:r>
            <w:r>
              <w:rPr>
                <w:rFonts w:ascii="Times New Roman" w:hAnsi="Times New Roman"/>
                <w:sz w:val="20"/>
                <w:u w:val="single"/>
              </w:rPr>
              <w:t>Project Iliad</w:t>
            </w:r>
            <w:r>
              <w:rPr>
                <w:rFonts w:ascii="Times New Roman" w:hAnsi="Times New Roman"/>
                <w:sz w:val="20"/>
              </w:rPr>
              <w:t>”) is the managing member of JHW Iliad. J.H. Whitney Capital Partners, LLC (“</w:t>
            </w:r>
            <w:r>
              <w:rPr>
                <w:rFonts w:ascii="Times New Roman" w:hAnsi="Times New Roman"/>
                <w:sz w:val="20"/>
                <w:u w:val="single"/>
              </w:rPr>
              <w:t>JHW Capital Partners</w:t>
            </w:r>
            <w:r>
              <w:rPr>
                <w:rFonts w:ascii="Times New Roman" w:hAnsi="Times New Roman"/>
                <w:sz w:val="20"/>
              </w:rPr>
              <w:t>”) is the sole member of J.H. Whitney VII Management Co., LLC (“</w:t>
            </w:r>
            <w:r>
              <w:rPr>
                <w:rFonts w:ascii="Times New Roman" w:hAnsi="Times New Roman"/>
                <w:sz w:val="20"/>
                <w:u w:val="single"/>
              </w:rPr>
              <w:t>JHW Management Co. VII</w:t>
            </w:r>
            <w:r>
              <w:rPr>
                <w:rFonts w:ascii="Times New Roman" w:hAnsi="Times New Roman"/>
                <w:sz w:val="20"/>
              </w:rPr>
              <w:t xml:space="preserve">”), which is the managing member of JHW Iliad II. Mr. Williams is a senior managing director at J.H. Whitney Equity Partners VII, LLC and is a Member of Project Iliad and a Senior Managing Director of JHW Capital Partners. As a result, by virtue of the relationships described in footnote 1 above, and in the foregoing sentence, Mr. Williams may be deemed to share beneficial ownership of the shares held by the J.H. Whitney Entities, JHW Iliad and JHW Iliad II. Mr. Williams disclaims beneficial ownership of these securities except to the extent of his pecuniary interest therein. The address for Mr. Williams is c/o J.H. Whitney Capital Partners, LLC, 212 Elm Street, New Canaan, Connecticut 06840.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1,813,794 shares registered in the name of JHW Iliad Holdings LLC and (ii) 190,129 shares registered in the name of JHW Iliad Holdings II LLC.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1,916,648 shares issuable upon exercise of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1,916,648 shares issuable upon exercise of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761,120 shares issuable upon exercise of options.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1,916,648 shares issuable upon exercise of options.    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Material Relationships </w:t>
      </w:r>
    </w:p>
    <w:p>
      <w:pPr>
        <w:pStyle w:val="TextBody"/>
        <w:bidi w:val="0"/>
        <w:spacing w:before="120" w:after="0"/>
        <w:jc w:val="left"/>
        <w:rPr>
          <w:rFonts w:ascii="Times New Roman" w:hAnsi="Times New Roman"/>
          <w:sz w:val="20"/>
          <w:u w:val="single"/>
        </w:rPr>
      </w:pPr>
      <w:r>
        <w:rPr>
          <w:rFonts w:ascii="Times New Roman" w:hAnsi="Times New Roman"/>
          <w:sz w:val="20"/>
          <w:u w:val="single"/>
        </w:rPr>
        <w:t xml:space="preserve">Stockholders Agreement </w:t>
      </w:r>
    </w:p>
    <w:p>
      <w:pPr>
        <w:pStyle w:val="TextBody"/>
        <w:bidi w:val="0"/>
        <w:spacing w:before="120" w:after="0"/>
        <w:jc w:val="left"/>
        <w:rPr>
          <w:rFonts w:ascii="Times New Roman" w:hAnsi="Times New Roman"/>
          <w:sz w:val="20"/>
        </w:rPr>
      </w:pPr>
      <w:r>
        <w:rPr>
          <w:rFonts w:ascii="Times New Roman" w:hAnsi="Times New Roman"/>
          <w:sz w:val="20"/>
        </w:rPr>
        <w:t>On March 16, 2017, we and the Sponsor Affiliates and certain of our directors and executive officers, including each of the Selling Stockholders, and certain other investors entered into a stockholders’ agreement (the “</w:t>
      </w:r>
      <w:r>
        <w:rPr>
          <w:rFonts w:ascii="Times New Roman" w:hAnsi="Times New Roman"/>
          <w:sz w:val="20"/>
          <w:u w:val="single"/>
        </w:rPr>
        <w:t>Original Stockholders Agreement</w:t>
      </w:r>
      <w:r>
        <w:rPr>
          <w:rFonts w:ascii="Times New Roman" w:hAnsi="Times New Roman"/>
          <w:sz w:val="20"/>
        </w:rPr>
        <w:t>”) with respect to their respective investments in us, with other investors joining the Original Stockholders Agreement thereafter from time to time upon their investment in us. In connection with the consummation of the initial public offering, we amended and restated the Original Stockholders Agreement (as amended and restated and as amended by subsequent amendments on June 6, 2025 and November 13, 2025, the “</w:t>
      </w:r>
      <w:r>
        <w:rPr>
          <w:rFonts w:ascii="Times New Roman" w:hAnsi="Times New Roman"/>
          <w:sz w:val="20"/>
          <w:u w:val="single"/>
        </w:rPr>
        <w:t>A&amp;R Stockholders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Pursuant to the A&amp;R Stockholders Agreement, each of the Sponsor Affiliates has the right to designate: (i) four of our directors if such Sponsor Affiliate retains at least 50% of its percentage ownership in us as of the effective date of the A&amp;R Stockholders Agreement (“</w:t>
      </w:r>
      <w:r>
        <w:rPr>
          <w:rFonts w:ascii="Times New Roman" w:hAnsi="Times New Roman"/>
          <w:sz w:val="20"/>
          <w:u w:val="single"/>
        </w:rPr>
        <w:t>Original Ownership Percentage</w:t>
      </w:r>
      <w:r>
        <w:rPr>
          <w:rFonts w:ascii="Times New Roman" w:hAnsi="Times New Roman"/>
          <w:sz w:val="20"/>
        </w:rPr>
        <w:t xml:space="preserve">”), (ii) three directors if it retains at least 25% but less than 50% of its Original Ownership Percentage, (iii) two directors if it retains at least 10% but less than 25% of its Original Ownership Percentage and (iv) one director if it owns at least 3% of the issued and outstanding common stock on a fully diluted basis but less than 10% of its Original Ownership Percentage, in each case as of the date of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initial public offering, Whitney designated Mr. Williams and Steven Rodgers as members of our Board of Directors pursuant to such right. Mr. Williams resigned from our Board of Directors in February 2026, while Mr. Rodgers continues to serve as a member of our Board of Directors. In connection with Mr. Williams’s resignation, Whitney waived the director designation rights to which it was previously entitled under the A&amp;R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under the A&amp;R Stockholders Agreement, our executive officers may only transfer shares of our common stock to the extent that such transfer (a) is pre-approved by the Compensation Committee of our Board of Directors and (b) would not result in such executive officer being in non-compliance with our Stock Ownership Guidelines. </w:t>
      </w:r>
    </w:p>
    <w:p>
      <w:pPr>
        <w:pStyle w:val="TextBody"/>
        <w:bidi w:val="0"/>
        <w:spacing w:before="240" w:after="0"/>
        <w:jc w:val="left"/>
        <w:rPr>
          <w:rFonts w:ascii="Times New Roman" w:hAnsi="Times New Roman"/>
          <w:sz w:val="20"/>
        </w:rPr>
      </w:pPr>
      <w:r>
        <w:rPr>
          <w:rFonts w:ascii="Times New Roman" w:hAnsi="Times New Roman"/>
          <w:sz w:val="20"/>
        </w:rPr>
        <w:t xml:space="preserve">The transfer of shares of our common stock by each of Mr. Windley, Mr. Shaner, Mr. Reisz and Mr. Strange in this offering has been pre-approved in accordance with the terms of the A&amp;R Stockholders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Concurrently with the Original Stockholders Agreement, we entered into a registration rights agreement (the “</w:t>
      </w:r>
      <w:r>
        <w:rPr>
          <w:rFonts w:ascii="Times New Roman" w:hAnsi="Times New Roman"/>
          <w:sz w:val="20"/>
          <w:u w:val="single"/>
        </w:rPr>
        <w:t>Original Registration Rights Agreement</w:t>
      </w:r>
      <w:r>
        <w:rPr>
          <w:rFonts w:ascii="Times New Roman" w:hAnsi="Times New Roman"/>
          <w:sz w:val="20"/>
        </w:rPr>
        <w:t>”) with the Sponsor Affiliates and certain of our directors and executive officers, including each of the Selling Stockholders, and certain other investors. In connection with the consummation of the initial public offering, we amended and restated the Original Registration Rights Agreement (as so amended and restated, the “</w:t>
      </w:r>
      <w:r>
        <w:rPr>
          <w:rFonts w:ascii="Times New Roman" w:hAnsi="Times New Roman"/>
          <w:sz w:val="20"/>
          <w:u w:val="single"/>
        </w:rPr>
        <w:t>A&amp;R Registration Rights Agreement</w:t>
      </w:r>
      <w:r>
        <w:rPr>
          <w:rFonts w:ascii="Times New Roman" w:hAnsi="Times New Roman"/>
          <w:sz w:val="20"/>
        </w:rPr>
        <w:t xml:space="preserve">”). Pursuant to the A&amp;R Registration Rights Agreement, certain Sponsor Affiliates who hold more than 2% of registrable securities have the right to require us to file a registration statement with the SEC for the sale of our common stock, subject to certain exceptions. Such Sponsor Affiliates have the right to an unlimited number of such “demand” registrations. We are obligated to use our reasonable best efforts to file a resale “shelf” registration with the SEC and to take steps to keep such resale shelf registration effective until the earlier of (i) the date on which all the registrable securities included in such “shelf” registration have been sold, (ii) the date as of which there are no longer in existence any registrable securities covered by the shelf registration and (iii) an earlier date agreed to in writing by the majority holders of the Sponsor Affiliates. We are also required to facilitate “takedown” offerings from the shelf upon demand by the Sponsor Affiliates. All holders of registrable securities party to the A&amp;R Registration Rights Agreement are entitled to certain “piggyback” registration rights in subsequent offerings. Such holders are entitled to notice of a registered offering and to have their shares included on a pro rata basis. The A&amp;R Registration Rights Agreement also provides that we will pay certain expenses of the holders party to the A&amp;R Registration Rights Agreement relating to the registrations and indemnify them against certain liabilities which may arise under the Securities Act and other federal or state securities laws. Accordingly, we will bear the costs associated with the registration, offering and sale of shares by the Selling Stockholders in this offering, other than underwriting discounts and commissions, and we will indemnify the Selling Stockholders against certain liabilities arising under applicable securities laws in connection with the offering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tx321536_7"/>
      <w:bookmarkEnd w:id="9"/>
      <w:r>
        <w:rPr>
          <w:rFonts w:ascii="Times New Roman" w:hAnsi="Times New Roman"/>
          <w:b/>
          <w:sz w:val="20"/>
        </w:rPr>
        <w:t xml:space="preserve">MATERIAL U.S. FEDERAL INCOME TAX CONSIDERATIONS FOR NON-U.S. HOLDERS OF COMMON STOCK </w:t>
      </w:r>
    </w:p>
    <w:p>
      <w:pPr>
        <w:pStyle w:val="TextBody"/>
        <w:bidi w:val="0"/>
        <w:spacing w:before="240" w:after="0"/>
        <w:jc w:val="left"/>
        <w:rPr>
          <w:rFonts w:ascii="Times New Roman" w:hAnsi="Times New Roman"/>
          <w:sz w:val="20"/>
        </w:rPr>
      </w:pPr>
      <w:r>
        <w:rPr>
          <w:rFonts w:ascii="Times New Roman" w:hAnsi="Times New Roman"/>
          <w:sz w:val="20"/>
        </w:rPr>
        <w:t>The following is a general discussion of the material U.S. federal income tax consequences to Non-U.S. Holders (as defined below) of the purchase, ownership and disposition of our common stock acquired pursuant to this offering. This discussion does not provide a complete analysis of all potential U.S. federal income tax considerations relating thereto. This description is based on the Internal Revenue Code of 1986, as amended (the “</w:t>
      </w:r>
      <w:r>
        <w:rPr>
          <w:rFonts w:ascii="Times New Roman" w:hAnsi="Times New Roman"/>
          <w:sz w:val="20"/>
          <w:u w:val="single"/>
        </w:rPr>
        <w:t>Code</w:t>
      </w:r>
      <w:r>
        <w:rPr>
          <w:rFonts w:ascii="Times New Roman" w:hAnsi="Times New Roman"/>
          <w:sz w:val="20"/>
        </w:rPr>
        <w:t xml:space="preserve">”) and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below) who hold shares of our common stock as “capital assets” within the meaning of Section 1221 of the Code (generally, property held for investment). Moreover, this discussion is for general information only and does not address all of the tax consequences that may be relevant to a Non-U.S. Holder in light of a Non-U.S. Holder’s particular circumstances, nor does it discuss special tax provisions, which may apply to a Non-U.S. Holder if a Non-U.S. Holder is subject to special treatment under U.S. federal income tax laws, such as for certain financial institutions or financial services entities, insurance companies, tax-exempt entities, tax-qualified retirement plans, persons subject to special tax accounting rules under Section 451(b) of the Code, “qualified foreign pension funds” (and entities all of the interests of which are held by qualified foreign pension funds), dealers in securities, entities that are treated as partnerships or other pass-through entities for U.S. federal income tax purposes (and partners or beneficial owners therein), foreign branches, “controlled foreign corporations,” “passive foreign investment companies,” former U.S. citizens or long-term residents, corporations that accumulate earnings to avoid U.S. federal income tax, persons deemed to sell common stock under the constructive sale provisions of the Code and persons that hold common stock as part of a straddle, hedge, conversion transaction, or other integrated investment. In addition, this summary does not address the alternative minimum tax, any state, local or non-U.S. taxes or any other U.S. federal tax laws, such as estate and gift tax laws. </w:t>
      </w:r>
    </w:p>
    <w:p>
      <w:pPr>
        <w:pStyle w:val="TextBody"/>
        <w:bidi w:val="0"/>
        <w:spacing w:before="240" w:after="0"/>
        <w:jc w:val="left"/>
        <w:rPr>
          <w:rFonts w:ascii="Times New Roman" w:hAnsi="Times New Roman"/>
          <w:sz w:val="20"/>
        </w:rPr>
      </w:pPr>
      <w:r>
        <w:rPr>
          <w:rFonts w:ascii="Times New Roman" w:hAnsi="Times New Roman"/>
          <w:sz w:val="20"/>
        </w:rPr>
        <w:t>Non-U.S. Holders are urged to consult their own tax advisors concerning the U.S. federal income tax consequences of purchasing, owning and disposing of our common stock, as well as the application of any other U.S. federal, state, local, non-U.S. tax laws and income tax treaties. As used in this section, a “</w:t>
      </w:r>
      <w:r>
        <w:rPr>
          <w:rFonts w:ascii="Times New Roman" w:hAnsi="Times New Roman"/>
          <w:sz w:val="20"/>
          <w:u w:val="single"/>
        </w:rPr>
        <w:t>Non-U.S. Holder</w:t>
      </w:r>
      <w:r>
        <w:rPr>
          <w:rFonts w:ascii="Times New Roman" w:hAnsi="Times New Roman"/>
          <w:sz w:val="20"/>
        </w:rPr>
        <w:t xml:space="preserve">” is a beneficial owner of our common stock (other than a partnership or any other entity treated as a pass-through entity for U.S. federal income tax purposes) that is not, and is not treated for U.S. federal income tax purposes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for U.S. federal income tax purposes) that is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domestic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individual, you generally will be treated as a resident of the United States if you are a lawful permanent resident of the United States (e.g., a green card holder) and you may be deemed to be a resident of the United States, as opposed to a nonresident alien, by virtue of being present in the United States for at least 31 days in the relevant calendar year and for an aggregate of at least 183 days during a three-year period ending in and including the relevant calendar year, subject to certain exceptions. For these purposes, all the days present in the United States in the relevant year, one-third of the days present in the immediately preceding year, and one-sixth of the days present in the second preceding year are counted. Such an individual is urged to consult his or her own tax advisor regarding the U.S. federal income tax consequences of the purchase, ownership or disposition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treated as a pass-through entity for U.S. federal income tax purposes is a beneficial owner of our common stock, the tax treatment of a partner in the partnership or an owner of the other pass-through entity will depend upon the status of the partner or owner, the activities of the partnership or other pass-through entity, and certain determinations made at the partner level, which may be subject to uncertainty. Any partnership, partner in such a partnership or owner of another pass-through entity holding shares of our common stock should consult its own tax advisor as to the particular U.S. federal income tax consequences applicable to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INVESTORS CONSIDERING THE PURCHASE OF OUR COMMON STOCK ARE URGED TO CONSULT THEIR OWN TAX ADVISORS REGARDING THE APPLICATION OF U.S. FEDERAL INCOME TAX LAWS TO THEIR PARTICULAR SITUATIONS AND THE CONSEQUENCES OF OTHER U.S. FEDERAL, STATE, LOCAL AND NON-U.S. TAX LAWS, AND ANY APPLICABLE INCOME TAX TREATIES.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on Common Stock </w:t>
      </w:r>
    </w:p>
    <w:p>
      <w:pPr>
        <w:pStyle w:val="TextBody"/>
        <w:bidi w:val="0"/>
        <w:spacing w:before="120" w:after="0"/>
        <w:jc w:val="left"/>
        <w:rPr>
          <w:rFonts w:ascii="Times New Roman" w:hAnsi="Times New Roman"/>
          <w:sz w:val="20"/>
        </w:rPr>
      </w:pPr>
      <w:r>
        <w:rPr>
          <w:rFonts w:ascii="Times New Roman" w:hAnsi="Times New Roman"/>
          <w:sz w:val="20"/>
        </w:rPr>
        <w:t xml:space="preserve">Distributions, if any, made on our common stock to a Non-U.S. Holder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first applied against and reduces, but not below zero, a Non-U.S. Holder’s adjusted tax basis in its shares of our common stock. Any remaining excess will be treated as gain realized on the sale or other taxable disposition of our common stock. See “—Dispositions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regarding effectively connected income, any dividend paid to a Non-U.S. Holder on our common stock will generally be subject to U.S. federal withholding tax at a 30% rate of the gross amount of the dividend or at a reduced rate, under the terms of an applicable income tax treaty. A Non-U.S. Holder is urged to consult its own tax advisor regarding its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valid IRS Form W-8BEN or IRS Form W-8BEN-E (or other applicable form or documentation), as applicable. If the Non-U.S. Holder holds our common stock through a financial institution or other agent acting on the Non-U.S. Holder’s behalf, the Non-U.S. Holder will be required to provide appropriate documentation to such agent. Even if our current and accumulated earnings and profits are less than the amount of the distribution, the applicable withholding agent may elect to treat the entire distribution as a dividend for U.S. federal withholding tax purposes. A Non-U.S. Holder that does not timely furnish the required documentation, but that qualifies for a reduced treaty rate,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Dividends received by a Non-U.S. Holder that are effectively connected with a U.S. trade or business conducted by the Non-U.S. Holder and, if required by an applicable income tax treaty, are attributable to a permanent establishment or a fixed base maintained by the Non-U.S. Holder in the United States, are generally exempt from the U.S. federal withholding tax described above. To obtain this exemption, a Non-U.S. Holder must provide us with a valid IRS Form W-8ECI properly certifying such exemption. Such effectively connected dividends, although not subject to U.S. federal withholding tax (provided certain certification and disclosure requirements are satisfied), are taxed at the same graduated rates applicable to U.S. persons, net of certain deductions and credits. In addition to a Non-U.S. Holder being subject to taxation at the regular graduated rates on effectively connected dividends as described above, such effectively connected dividends, as adjusted for certain items, received by corporate Non-U.S. Holders may also be subject to a branch profits tax at a rate of 30% or such lower rate as may be specified by an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subject to the discussions below under “—Backup Withholding and Information Reporting” and “—Other Withholding Taxes.” </w:t>
      </w:r>
    </w:p>
    <w:p>
      <w:pPr>
        <w:pStyle w:val="TextBody"/>
        <w:bidi w:val="0"/>
        <w:spacing w:before="360" w:after="0"/>
        <w:jc w:val="left"/>
        <w:rPr>
          <w:rFonts w:ascii="Times New Roman" w:hAnsi="Times New Roman"/>
          <w:b/>
          <w:sz w:val="20"/>
        </w:rPr>
      </w:pPr>
      <w:r>
        <w:rPr>
          <w:rFonts w:ascii="Times New Roman" w:hAnsi="Times New Roman"/>
          <w:b/>
          <w:sz w:val="20"/>
        </w:rPr>
        <w:t xml:space="preserve">Dispositions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on backup withholding and other withholding tax requirements, gain realized by a Non-U.S. Holder on a sale, exchange or other taxable disposition of our common stock generally will not be subject to U.S. federal income or withholding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conduct by the Non-U.S. Holder of a U.S. trade or business (and, if required by an applicable income tax treaty, is attributable to a permanent establishment or a fixed base maintained by the Non-U.S. Holder in the United States) (in which case the special rules described below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an individual who is present in the United States for 183 or more days in the taxable year of such disposition and certain other conditions are met (in which case the gain would be subject to U.S. federal income tax at a rate of 30%, or such reduced rate as may be specified by an applicable income tax treaty, which may be offset by certain U.S. source capital losses of the Non-U.S. Holder, provided the Non-U.S. Holder has timely filed U.S. federal income tax returns with respect to such losses);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we are, or become, a “United States real property holding corporation” (a “</w:t>
            </w:r>
            <w:r>
              <w:rPr>
                <w:rFonts w:ascii="Times New Roman" w:hAnsi="Times New Roman"/>
                <w:sz w:val="20"/>
                <w:u w:val="single"/>
              </w:rPr>
              <w:t>USRPHC</w:t>
            </w:r>
            <w:r>
              <w:rPr>
                <w:rFonts w:ascii="Times New Roman" w:hAnsi="Times New Roman"/>
                <w:sz w:val="20"/>
              </w:rPr>
              <w:t xml:space="preserve">”), for U.S. federal income tax purposes at any time during the shorter of the five-year period ending on the date of disposition of our common stock and the Non-U.S. Holder’s holding period for our common stock (as further described below). </w:t>
            </w:r>
          </w:p>
        </w:tc>
      </w:tr>
    </w:tbl>
    <w:p>
      <w:pPr>
        <w:pStyle w:val="TextBody"/>
        <w:bidi w:val="0"/>
        <w:spacing w:before="240" w:after="0"/>
        <w:jc w:val="left"/>
        <w:rPr>
          <w:rFonts w:ascii="Times New Roman" w:hAnsi="Times New Roman"/>
          <w:sz w:val="20"/>
        </w:rPr>
      </w:pPr>
      <w:r>
        <w:rPr>
          <w:rFonts w:ascii="Times New Roman" w:hAnsi="Times New Roman"/>
          <w:sz w:val="20"/>
        </w:rPr>
        <w:t xml:space="preserve">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dispositions of stock in a USRPHC does not apply to a Non-U.S. Holder whose holdings, actual and constructive, amount to 5% or less of our common stock at all times during the shorter of the five-year period ending on the date of disposition of our common stock and the Non-U.S. Holder’s holding period for our common stock, provided that our common stock is regularly traded on an established securities market. In addition, if our common stock continues to be regularly traded on an established securities market in the United States, no U.S. withholding tax will apply on the proceeds of a sale or other taxable disposition of our common stock by a Non-U.S. Holder owning 5% or more, actually or constructively, of our common stock, even if we are a USRPHC, although in that case such holder would be required to file a U.S. tax return and pay tax on the gain realized in such disposition. No assurance can be provided that our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Non-U.S. Holders are urged to consult their own tax advisors about the consequences that could result if we are, or become, a USRPHC. </w:t>
      </w:r>
    </w:p>
    <w:p>
      <w:pPr>
        <w:pStyle w:val="TextBody"/>
        <w:bidi w:val="0"/>
        <w:spacing w:before="240" w:after="0"/>
        <w:jc w:val="left"/>
        <w:rPr>
          <w:rFonts w:ascii="Times New Roman" w:hAnsi="Times New Roman"/>
          <w:sz w:val="20"/>
        </w:rPr>
      </w:pPr>
      <w:r>
        <w:rPr>
          <w:rFonts w:ascii="Times New Roman" w:hAnsi="Times New Roman"/>
          <w:sz w:val="20"/>
        </w:rPr>
        <w:t xml:space="preserve">If any gain from the sale, exchange or other taxable disposition of our common stock is effectively connected with a U.S. trade or business conducted by a Non-U.S. Holder (and, if required by an applicable income tax treaty, is attributable to a permanent establishment or fixed base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also be subject to a “branch profits tax” at a rate of 30% or such lower rate as may be specified by an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Any dividends or other distributions that are paid to a Non-U.S. Holder must be reported annually to the IRS and to the Non-U.S. Holder. Copies of these information returns also may be made available to the tax authorities of the country in which the Non-U.S. Holder resides or is established under the provisions of various treaties or agreements for the exchange of information. Dividends paid on our common stock and the gross proceeds from a taxable disposition of our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so withheld under the backup withholding rules may be refunded by the IRS or credited against the Non-U.S. Holder’s U.S. federal income tax liability,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Other Withholding Taxes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Foreign Account Tax Compliance Act, commonly referred to as “FATCA” impose a withholding tax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imposed by FATCA applies to gross proceeds from the sale or other taxable disposition of U.S. corporate stock (including our common stock) unless excepted by the U.S. Treasury, and under proposed U.S. Treasury regulations, no withholding would apply to such gross proceeds. The preamble to the proposed U.S. Treasury regulations specifies that taxpayers (including withholding agents) are permitted to rely on the proposed U.S. Treasury regulations pending finalization. An intergovernmental agreement between the United States and an applicable non-U.S. country may modify these requirements. Accordingly, the entity through which our common stock is held will affect the determination of whether such withholding is required. If FATCA withholding is imposed, a beneficial owner that is not a foreign financial institution generally will be entitled to a refund of any amounts withheld by filing a U.S. federal income tax return containing the required information (which may entail a significant administrative burden). Non-U.S. Holders are urged to consult their own tax advisors regarding the effects of FATCA on their investment in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PRECEDING DISCUSSION OF U.S. FEDERAL INCOME TAX CONSIDERATIONS IS FOR GENERAL INFORMATION ONLY. IT IS NOT TAX ADVICE. EACH PROSPECTIVE INVESTOR IS URGED TO CONSULT ITS OWN TAX ADVISOR REGARDING THE PARTICULAR U.S. FEDERAL, STATE, LOCAL AND NON-U.S. TAX CONSEQUENCES OF PURCHASING, OWNING AND DISPOSING OF OUR COMMON STOCK, INCLUDING THE CONSEQUENCES OF ANY PROPOSED CHANGE IN APPLICABLE LAWS AND INCOME TAX TREATIES.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tx321536_8"/>
      <w:bookmarkEnd w:id="10"/>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the shares of common stock described in this prospectus supplement through the underwriter. We and the Selling Stockholders have entered into an underwriting agreement with the underwriter. Subject to the terms and conditions of the underwriting agreement, the Selling Stockholders have agreed to sell to the underwriter, and the underwriter has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55"/>
        <w:gridCol w:w="237"/>
        <w:gridCol w:w="60"/>
        <w:gridCol w:w="1124"/>
        <w:gridCol w:w="63"/>
      </w:tblGrid>
      <w:tr>
        <w:trPr/>
        <w:tc>
          <w:tcPr>
            <w:tcW w:w="545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55" w:type="dxa"/>
            <w:tcBorders/>
            <w:vAlign w:val="bottom"/>
          </w:tcPr>
          <w:p>
            <w:pPr>
              <w:pStyle w:val="TableContents"/>
              <w:bidi w:val="0"/>
              <w:spacing w:before="0" w:after="283"/>
              <w:jc w:val="left"/>
              <w:rPr>
                <w:b/>
              </w:rPr>
            </w:pPr>
            <w:r>
              <w:rPr>
                <w:b/>
              </w:rPr>
              <w:t>Name</w:t>
            </w:r>
          </w:p>
        </w:tc>
        <w:tc>
          <w:tcPr>
            <w:tcW w:w="237" w:type="dxa"/>
            <w:tcBorders/>
            <w:vAlign w:val="bottom"/>
          </w:tcPr>
          <w:p>
            <w:pPr>
              <w:pStyle w:val="TableContents"/>
              <w:bidi w:val="0"/>
              <w:spacing w:before="0" w:after="283"/>
              <w:jc w:val="left"/>
              <w:rPr/>
            </w:pPr>
            <w:r>
              <w:rPr/>
              <w:t>  </w:t>
            </w:r>
          </w:p>
        </w:tc>
        <w:tc>
          <w:tcPr>
            <w:tcW w:w="1184" w:type="dxa"/>
            <w:gridSpan w:val="2"/>
            <w:tcBorders/>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23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4" w:type="dxa"/>
            <w:tcBorders/>
            <w:shd w:fill="CCEEFF" w:val="clear"/>
            <w:vAlign w:val="bottom"/>
          </w:tcPr>
          <w:p>
            <w:pPr>
              <w:pStyle w:val="TableContents"/>
              <w:bidi w:val="0"/>
              <w:spacing w:before="0" w:after="283"/>
              <w:jc w:val="right"/>
              <w:rPr/>
            </w:pPr>
            <w:r>
              <w:rPr/>
              <w:t>15,000,000</w:t>
            </w:r>
          </w:p>
        </w:tc>
        <w:tc>
          <w:tcPr>
            <w:tcW w:w="63" w:type="dxa"/>
            <w:tcBorders/>
            <w:shd w:fill="CCEEFF" w:val="clear"/>
            <w:vAlign w:val="bottom"/>
          </w:tcPr>
          <w:p>
            <w:pPr>
              <w:pStyle w:val="TableContents"/>
              <w:bidi w:val="0"/>
              <w:spacing w:before="0" w:after="283"/>
              <w:jc w:val="left"/>
              <w:rPr/>
            </w:pPr>
            <w:r>
              <w:rPr/>
              <w:t> </w:t>
            </w:r>
          </w:p>
        </w:tc>
      </w:tr>
      <w:tr>
        <w:trPr/>
        <w:tc>
          <w:tcPr>
            <w:tcW w:w="5455"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2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55"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3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4" w:type="dxa"/>
            <w:tcBorders/>
            <w:vAlign w:val="bottom"/>
          </w:tcPr>
          <w:p>
            <w:pPr>
              <w:pStyle w:val="TableContents"/>
              <w:bidi w:val="0"/>
              <w:spacing w:before="0" w:after="283"/>
              <w:jc w:val="right"/>
              <w:rPr/>
            </w:pPr>
            <w:r>
              <w:rPr/>
              <w:t>15,000,000</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 is committed to purchase all the shares of common stock offered by this prospectus supplement if it purchases any shares.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an option to buy up to 2,250,000 additional shares of common stock from certain of the Whitney Selling Stockholders. The underwriter has 30 days from the date of this prospectus supplement to exercise this option to purchase additional shares. If any additional shares of common stock are purchased, the underwriter will offer the additional shares on the same terms as those on which the shares are being offered. </w:t>
      </w:r>
    </w:p>
    <w:p>
      <w:pPr>
        <w:pStyle w:val="TextBody"/>
        <w:bidi w:val="0"/>
        <w:spacing w:before="240" w:after="0"/>
        <w:jc w:val="left"/>
        <w:rPr>
          <w:rFonts w:ascii="Times New Roman" w:hAnsi="Times New Roman"/>
          <w:sz w:val="20"/>
        </w:rPr>
      </w:pPr>
      <w:r>
        <w:rPr>
          <w:rFonts w:ascii="Times New Roman" w:hAnsi="Times New Roman"/>
          <w:sz w:val="20"/>
        </w:rPr>
        <w:t>The underwriting fee is equal to the public offering price per share of common stock less the amount paid by the underwriter per share of common stock. The underwriting fee is $0.25 per share. The following table shows the per share and total underwriting discounts and commissions to be paid by the Selling Stockholders to the underwriters assuming both no exercise and full exercise of the underwriter’s option to purchase additional shares.</w:t>
      </w:r>
    </w:p>
    <w:p>
      <w:pPr>
        <w:pStyle w:val="TextBody"/>
        <w:bidi w:val="0"/>
        <w:spacing w:before="0" w:after="0"/>
        <w:jc w:val="left"/>
        <w:rPr/>
      </w:pPr>
      <w:r>
        <w:rPr/>
        <w:t> </w:t>
      </w:r>
    </w:p>
    <w:tbl>
      <w:tblPr>
        <w:tblW w:w="11790" w:type="dxa"/>
        <w:jc w:val="center"/>
        <w:tblInd w:w="0" w:type="dxa"/>
        <w:tblLayout w:type="fixed"/>
        <w:tblCellMar>
          <w:top w:w="0" w:type="dxa"/>
          <w:left w:w="0" w:type="dxa"/>
          <w:bottom w:w="0" w:type="dxa"/>
          <w:right w:w="0" w:type="dxa"/>
        </w:tblCellMar>
      </w:tblPr>
      <w:tblGrid>
        <w:gridCol w:w="470"/>
        <w:gridCol w:w="120"/>
        <w:gridCol w:w="681"/>
        <w:gridCol w:w="4769"/>
        <w:gridCol w:w="60"/>
        <w:gridCol w:w="120"/>
        <w:gridCol w:w="688"/>
        <w:gridCol w:w="4822"/>
        <w:gridCol w:w="60"/>
      </w:tblGrid>
      <w:tr>
        <w:trPr/>
        <w:tc>
          <w:tcPr>
            <w:tcW w:w="4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4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48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4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1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The Selling Stockholders</w:t>
            </w:r>
          </w:p>
        </w:tc>
        <w:tc>
          <w:tcPr>
            <w:tcW w:w="60" w:type="dxa"/>
            <w:tcBorders/>
            <w:vAlign w:val="bottom"/>
          </w:tcPr>
          <w:p>
            <w:pPr>
              <w:pStyle w:val="TableContents"/>
              <w:bidi w:val="0"/>
              <w:spacing w:before="0" w:after="283"/>
              <w:jc w:val="left"/>
              <w:rPr/>
            </w:pPr>
            <w:r>
              <w:rPr/>
              <w:t> </w:t>
            </w:r>
          </w:p>
        </w:tc>
      </w:tr>
      <w:tr>
        <w:trPr/>
        <w:tc>
          <w:tcPr>
            <w:tcW w:w="4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4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 option to purchase additional shares exercise</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5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 option to purchase additional shares exercise</w:t>
            </w:r>
          </w:p>
        </w:tc>
        <w:tc>
          <w:tcPr>
            <w:tcW w:w="60" w:type="dxa"/>
            <w:tcBorders/>
            <w:vAlign w:val="bottom"/>
          </w:tcPr>
          <w:p>
            <w:pPr>
              <w:pStyle w:val="TableContents"/>
              <w:bidi w:val="0"/>
              <w:spacing w:before="0" w:after="283"/>
              <w:jc w:val="left"/>
              <w:rPr/>
            </w:pPr>
            <w:r>
              <w:rPr/>
              <w:t> </w:t>
            </w:r>
          </w:p>
        </w:tc>
      </w:tr>
      <w:tr>
        <w:trPr/>
        <w:tc>
          <w:tcPr>
            <w:tcW w:w="4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12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left"/>
              <w:rPr/>
            </w:pPr>
            <w:r>
              <w:rPr/>
              <w:t>$</w:t>
            </w:r>
          </w:p>
        </w:tc>
        <w:tc>
          <w:tcPr>
            <w:tcW w:w="4769" w:type="dxa"/>
            <w:tcBorders/>
            <w:shd w:fill="CCEEFF" w:val="clear"/>
            <w:vAlign w:val="bottom"/>
          </w:tcPr>
          <w:p>
            <w:pPr>
              <w:pStyle w:val="TableContents"/>
              <w:bidi w:val="0"/>
              <w:spacing w:before="0" w:after="283"/>
              <w:jc w:val="right"/>
              <w:rPr/>
            </w:pPr>
            <w:r>
              <w:rPr/>
              <w:t>0.25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88" w:type="dxa"/>
            <w:tcBorders/>
            <w:shd w:fill="CCEEFF" w:val="clear"/>
            <w:vAlign w:val="bottom"/>
          </w:tcPr>
          <w:p>
            <w:pPr>
              <w:pStyle w:val="TableContents"/>
              <w:bidi w:val="0"/>
              <w:spacing w:before="0" w:after="283"/>
              <w:jc w:val="left"/>
              <w:rPr/>
            </w:pPr>
            <w:r>
              <w:rPr/>
              <w:t>$</w:t>
            </w:r>
          </w:p>
        </w:tc>
        <w:tc>
          <w:tcPr>
            <w:tcW w:w="4822" w:type="dxa"/>
            <w:tcBorders/>
            <w:shd w:fill="CCEEFF" w:val="clear"/>
            <w:vAlign w:val="bottom"/>
          </w:tcPr>
          <w:p>
            <w:pPr>
              <w:pStyle w:val="TableContents"/>
              <w:bidi w:val="0"/>
              <w:spacing w:before="0" w:after="283"/>
              <w:jc w:val="right"/>
              <w:rPr/>
            </w:pPr>
            <w:r>
              <w:rPr/>
              <w:t>0.25</w:t>
            </w:r>
          </w:p>
        </w:tc>
        <w:tc>
          <w:tcPr>
            <w:tcW w:w="60" w:type="dxa"/>
            <w:tcBorders/>
            <w:shd w:fill="CCEEFF" w:val="clear"/>
            <w:vAlign w:val="bottom"/>
          </w:tcPr>
          <w:p>
            <w:pPr>
              <w:pStyle w:val="TableContents"/>
              <w:bidi w:val="0"/>
              <w:spacing w:before="0" w:after="283"/>
              <w:jc w:val="left"/>
              <w:rPr/>
            </w:pPr>
            <w:r>
              <w:rPr/>
              <w:t> </w:t>
            </w:r>
          </w:p>
        </w:tc>
      </w:tr>
      <w:tr>
        <w:trPr/>
        <w:tc>
          <w:tcPr>
            <w:tcW w:w="470"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left"/>
              <w:rPr/>
            </w:pPr>
            <w:r>
              <w:rPr/>
              <w:t>$</w:t>
            </w:r>
          </w:p>
        </w:tc>
        <w:tc>
          <w:tcPr>
            <w:tcW w:w="4769" w:type="dxa"/>
            <w:tcBorders/>
            <w:vAlign w:val="bottom"/>
          </w:tcPr>
          <w:p>
            <w:pPr>
              <w:pStyle w:val="TableContents"/>
              <w:bidi w:val="0"/>
              <w:spacing w:before="0" w:after="283"/>
              <w:jc w:val="right"/>
              <w:rPr/>
            </w:pPr>
            <w:r>
              <w:rPr/>
              <w:t>3,750,000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88" w:type="dxa"/>
            <w:tcBorders/>
            <w:vAlign w:val="bottom"/>
          </w:tcPr>
          <w:p>
            <w:pPr>
              <w:pStyle w:val="TableContents"/>
              <w:bidi w:val="0"/>
              <w:spacing w:before="0" w:after="283"/>
              <w:jc w:val="left"/>
              <w:rPr/>
            </w:pPr>
            <w:r>
              <w:rPr/>
              <w:t>$</w:t>
            </w:r>
          </w:p>
        </w:tc>
        <w:tc>
          <w:tcPr>
            <w:tcW w:w="4822" w:type="dxa"/>
            <w:tcBorders/>
            <w:vAlign w:val="bottom"/>
          </w:tcPr>
          <w:p>
            <w:pPr>
              <w:pStyle w:val="TableContents"/>
              <w:bidi w:val="0"/>
              <w:spacing w:before="0" w:after="283"/>
              <w:jc w:val="right"/>
              <w:rPr/>
            </w:pPr>
            <w:r>
              <w:rPr/>
              <w:t>4,312,500</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that our total expenses of this offering, including registration, listing fees, printing fees and legal and accounting expenses, but excluding the underwriting discounts and commissions, will be approximately $1.1 million.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the web sites maintained by the underwriter and in connection with the offering, the underwriter or securities dealers may distribute prospectuses by electronic means, such as e-mail.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we will not, directly or indirectly (i) offer for sale, sell, pledge or otherwise dispose of (or enter into any transaction or device that is designed to, or could be expected to, result in the disposition by any person at any time in the future of) any shares of common stock or securities convertible into or exercisable or exchangeable for common stock (other than the shares of common stock issued pursuant to employee benefit plans, qualified stock option plans or other employee compensation plans that currently exist or pursuant to currently outstanding options, warrants or rights not issued under one of those plans), or sell or grant options, restricted stock units or performance stock units, rights or warrants with respect to any shares of common stock or securities convertible into or exchangeable for common stock (other than the grant of options, restricted stock units or performance stock units pursuant to employee benefit plans, qualified stock option plans or other employee compensation plans that currently exist), (ii) enter into any swap or other derivative transaction that transfers all or a portion of the economic benefits or risks of ownership of any shares of common stock or any such other securities (regardless of whether any of the transactions described in (i) or (ii) are to be settled by the delivery of shares of common stock or such other securities, in cash or otherwise), (iii) file, confidentially submit or cause to be confidentially submitted or filed a registration statement, including any amendments thereto, with respect to the registration of any shares of common stock or securities convertible, exercisable or exchangeable into common stock or any other of our securities (other than any registration statement on Form S-8), or (iv) publicly disclose the intention to do any of the above, in each case for a period of 30 days after the date of this prospectus supplement without the prior written consent of the underwriter, other than the shares of our common stock to be sold in this offering; provided, however, that the foregoing restrictions do not apply to the issuance by us of shares of our common stock or securities convertible into shares of our common stock in connection with an acquisition, joint venture, strategic investment or any other transaction that includes a bona fide commercial relationship with us or any of our subsidiaries (provided that (i) the aggregate number of shares of our common stock issued pursuant to such issuance shall in no event exceed 10% of the total number of shares of our common stock outstanding as of the date hereof and (ii) each recipient of such shares of our common stock shall execute and deliver to the underwriter a lock-up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Our directors and executive officers and certain of our stockholders, including the Selling Stockholders (such persons, the “</w:t>
      </w:r>
      <w:r>
        <w:rPr>
          <w:rFonts w:ascii="Times New Roman" w:hAnsi="Times New Roman"/>
          <w:sz w:val="20"/>
          <w:u w:val="single"/>
        </w:rPr>
        <w:t>lock-up parties</w:t>
      </w:r>
      <w:r>
        <w:rPr>
          <w:rFonts w:ascii="Times New Roman" w:hAnsi="Times New Roman"/>
          <w:sz w:val="20"/>
        </w:rPr>
        <w:t>”) have entered into lock up agreements with the underwriter prior to the commencement of this offering pursuant to which each lock-up party, with limited exceptions, for a period of 30 days after the date of this prospectus supplement (such period, the “</w:t>
      </w:r>
      <w:r>
        <w:rPr>
          <w:rFonts w:ascii="Times New Roman" w:hAnsi="Times New Roman"/>
          <w:sz w:val="20"/>
          <w:u w:val="single"/>
        </w:rPr>
        <w:t>restricted period</w:t>
      </w:r>
      <w:r>
        <w:rPr>
          <w:rFonts w:ascii="Times New Roman" w:hAnsi="Times New Roman"/>
          <w:sz w:val="20"/>
        </w:rPr>
        <w:t>”), may not (and may not cause any of their direct or indirect affiliates to), without the prior written consent of the underwriter, directly or indirectly (i) offer for sale, sell, pledge, lend or otherwise dispose of (or enter into any transaction or device that is designed to, or could be expected to, result in the disposition by any person at any time in the future of), any shares of our common stock (including, without limitation, shares of common stock that may be deemed to be beneficially owned by such lock-up parties in accordance with the rules and regulations of the SEC and securities which may be issued upon exercise of a stock option or warrant) or securities convertible or exercisable or exchangeable for shares of common stock, other than any common stock sold by a lock-up party pursuant to the underwriting agreement, if applicable (collectively, the “</w:t>
      </w:r>
      <w:r>
        <w:rPr>
          <w:rFonts w:ascii="Times New Roman" w:hAnsi="Times New Roman"/>
          <w:sz w:val="20"/>
          <w:u w:val="single"/>
        </w:rPr>
        <w:t>lock-up securities</w:t>
      </w:r>
      <w:r>
        <w:rPr>
          <w:rFonts w:ascii="Times New Roman" w:hAnsi="Times New Roman"/>
          <w:sz w:val="20"/>
        </w:rPr>
        <w:t xml:space="preserve">”), (ii) enter into any swap or other derivatives transaction that transfers to another, in whole or in part, any of the economic benefits or risks of ownership of shares of common stock, whether any such transaction described in (i) or (ii) above is to be settled by delivery of lock-up securities, in cash or otherwise, (iii) make any demand for or exercise any right or cause to be confidentially submitted or filed a registration statement, including any amendments thereto, with respect to the registration of any shares of common stock or securities convertible into or exercisable or exchangeable for common stock or any other of our securities, or (iv) publicly disclose the intention to do any of the foregoing during the restricted period. Such persons or entities have further acknowledged that these undertakings preclude them from engaging in any hedging or other transactions designed to or which reasonably could be expected to lead to or result in, a sale or disposition of common stock or other of our securities, even if such common stock or other securities would be disposed of by someone other than the lock-up party, including, without limitation, any short sale or any purchase, sale or grant of any right (including without limitation any put or call option, forward, swap or any other derivative transaction or instrument) with respect to any common stock, or any other of our securities that includes, relates to, or derives any significant part of its value from common stock or any other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paragraph above relating to our directors and executive officers and certain of our stockholders do not apply to: (a) transactions relating to shares of common stock or other securities acquired in the open market after the completion of this offering; (b) bona fide gifts or other dispositions of shares of any class of our capital stock or securities convertible into common stock, in each case that are made exclusively between and among the lock-up party or members of their family (including to any trust, limited partnership, limited liability company or other entity for the direct benefit of the lock-up party or any members of their family) or affiliates of the lock-up party, including its subsidiaries, partners (if a partnership) or members (if a limited liability company); (c) transfers by will or intestacy; (d) transfers to any trust for the direct or indirect benefit of the lock-up party or their immediate family, or if the stockholder is a trust, to a trustor or beneficiary of the trust or to the estate of a beneficiary of such trust; (e) transfers to a partnership, limited liability company or other entity of which the lock-up party and the immediate family of the lock-up party are the legal and beneficial owner of all of the outstanding equity securities or similar interests; (f) transfers to a partnership, limited liability company or other entity of which a nominee or custodian is a person or entity to whom a disposition or transfer would be permissible under (b) through (e) above; (g) transfers if the stockholder is a corporation, partnership, limited liability company, trust or other business entity, (A) to another corporation, partnership, limited liability company, trust or other business entity that is an affiliate (as defined in Rule 405 promulgated under the Securities Act) of the stockholder, or to any investment fund or other entity controlling, controlled by, managing or managed by or under common control with the stockholder or affiliates of the stockholder (including where the stockholder is a partnership, to its general partner or a successor partnership or fund, or any other funds managed by such partnership), or (B) as part of a distribution to members or stockholders of the stockholder; (h) transfers to partners, members, stockholders or other equityholders of the stockholder, any direct or indirect partner, member, stockholder or other equityholder of such transferee until the lock-up securities come to be held by a natural person; (i) transfers by operation of law or pursuant to an order of a court (including a qualified domestic order, divorce settlement, divorce decree or separation agreement) or regulatory agency; (j) transfers to us from an employee upon death, disability or termination of employment, in each case, of such employee; (k) transfers to us in connection with the vesting, settlement, or exercise of restricted stock units, performance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performance stock units, options, warrants or rights, provided that any such shares of common stock received upon such exercise, vesting or settlement are subject to the terms of the lock-up agreement, and provided further that any such restricted stock units, performance stock units, options, warrants or rights are held by the lock-up party pursuant to an agreement or equity awards granted under a stock incentive plan or other equity award plan described in this prospectus supplement or the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incorporated by reference; (l) transfers pursuant to a bona fide third-party tender offer, merger, consolidation or other similar transaction that is approved by the Board of Directors and made to all holders of our capital stock involving a change of control; provided that in the event that such tender offer, merger, consolidation or other similar transaction is not completed, the lock-up securities remain subject to the provisions of the lock-up agreement; (m) the exercise of outstanding options, settlement of restricted stock units, performance stock units or other equity awards or exercise of warrants pursuant to plans described in this prospectus supplement or the documents incorporated by reference; provided that any lock-up securities received upon such exercise, vesting or settlement are subject to the terms of the lock-up agreement; (n) the conversion of outstanding preferred stock, warrants to acquire preferred stock or convertible securities into shares of common stock or warrants to acquire shares of common stock; provided that any such shares of common stock or warrants received upon such conversion are subject to the terms of the lock-up agreement; (o) any pledge, charge, hypothecation or other granting of a security interest in lock-up securities by the Bain Funds or Whitney Funds (each, as defined below) to one or more banks, financial or other lending institutions (“</w:t>
      </w:r>
      <w:r>
        <w:rPr>
          <w:rFonts w:ascii="Times New Roman" w:hAnsi="Times New Roman"/>
          <w:sz w:val="20"/>
          <w:u w:val="single"/>
        </w:rPr>
        <w:t>Lenders</w:t>
      </w:r>
      <w:r>
        <w:rPr>
          <w:rFonts w:ascii="Times New Roman" w:hAnsi="Times New Roman"/>
          <w:sz w:val="20"/>
        </w:rPr>
        <w:t>”) as collateral or security for or in connection with any margin loan or other loans, advances or extensions of credit entered into by the lock-up party or any of its direct or indirect subsidiaries and any transfers of such lock-up securities or such other securities to the applicable Lender(s) or other third parties upon or following foreclosure upon or enforcement of such lock-up securities or such securities in accordance with the terms of the documentation governing any margin loan or other loan, advance, or extension of credit (including, without limitation, pursuant to any agreement or arrangement existing as of the date hereof); provided that with respect to any pledge, charge, hypothecation or other granting of a security interest set forth above after the execution of this agreement, the applicable Lender(s) is informed of the existence and contents of this agreement before entering into any margin loan or other loans, advances or extensions of credit; (p) transfers by entities affiliated with Bain (collectively, the “</w:t>
      </w:r>
      <w:r>
        <w:rPr>
          <w:rFonts w:ascii="Times New Roman" w:hAnsi="Times New Roman"/>
          <w:sz w:val="20"/>
          <w:u w:val="single"/>
        </w:rPr>
        <w:t>Bain Funds</w:t>
      </w:r>
      <w:r>
        <w:rPr>
          <w:rFonts w:ascii="Times New Roman" w:hAnsi="Times New Roman"/>
          <w:sz w:val="20"/>
        </w:rPr>
        <w:t>”) on or prior to the effective date of this registration statement by bona fide gift to any charitable organizations, either directly or indirectly (including through any related distributions or dividends to the direct or indirect equity holders of the Bain Funds or to managing directors of Bain Capital Investors, LLC, in each case as necessary to facilitate any such bona fide gifts); (q) transfers by entities affiliated with J.H. Whitney (collectively, the “</w:t>
      </w:r>
      <w:r>
        <w:rPr>
          <w:rFonts w:ascii="Times New Roman" w:hAnsi="Times New Roman"/>
          <w:sz w:val="20"/>
          <w:u w:val="single"/>
        </w:rPr>
        <w:t>Whitney Funds</w:t>
      </w:r>
      <w:r>
        <w:rPr>
          <w:rFonts w:ascii="Times New Roman" w:hAnsi="Times New Roman"/>
          <w:sz w:val="20"/>
        </w:rPr>
        <w:t>”) on or prior to the effective date of this registration statement by bona fide gift to any charitable organizations, either directly or indirectly (including through any related distributions or dividends to the direct or indirect equity holders of the Whitney Funds or to managing directors of J.H. Whitney Capital Partners, LLC, in each case as necessary to facilitate any such bona fide gifts); or (r) the establishment of any contract, instruction or plan that satisfies all of the requirements of Rule 10b5-1 (a “</w:t>
      </w:r>
      <w:r>
        <w:rPr>
          <w:rFonts w:ascii="Times New Roman" w:hAnsi="Times New Roman"/>
          <w:sz w:val="20"/>
          <w:u w:val="single"/>
        </w:rPr>
        <w:t>Rule 10b5-1 Plan</w:t>
      </w:r>
      <w:r>
        <w:rPr>
          <w:rFonts w:ascii="Times New Roman" w:hAnsi="Times New Roman"/>
          <w:sz w:val="20"/>
        </w:rPr>
        <w:t xml:space="preserve">”) under the Exchange Act, except that no sales of common stock or securities convertible into, or exchangeable or exercisable for, common stock, may be made pursuant to a Rule 10b5-1 Plan prior to the expiration of the restricted period (as may be extended) and neither the lock-up party nor we are required to report the establishment of such Rule 10b5-1 Plan in any public report or filing with the Securities and Exchange Commission under the Exchange Act during the restricted period, except as required by law or regulation, provided that to the extent such filing under the Exchange Act or other public announcement is required by law or regulation, such filing or announcement shall include a statement to the effect that no transfers may be made pursuant to such Rule 10b5-1 Plan during the restricted period and neither the lock-up party nor we otherwise voluntarily effects any such public filing or report regarding such Rule 10b5-1 Plan except as permitted by (r); provided that: (i) in the case of (b), (c), (d), (e), (f), (g), (h), (i) and (o), the transfer does not involve a disposition for value and each donee, devisee, transferee or distributee agrees to be bound by the terms of the lock-up agreement to the same extent as if it were a party to the lock-up agreement; (ii) in the case of (c), (d), (e), (f), (g) and (k) that each donee, devisee, transferee or distributee is not required by law (including without limitation the disclosure requirements of the Securities Act and the Exchange Act) to make, and agrees to not voluntarily make, any filing or public announcement of the transfer or disposition prior to the expiration of the restricted period; in the case of (b), (h) and (i) that no public filing, report or announcement is voluntarily made and if any filing under Section 16(a) of the Exchange Act, or other public filing, report or announcement reporting a reduction in beneficial ownership of shares of common stock in connection with such transfer or distribution is legally required during the restricted period, such filing, report or announcement clearly indicates in the footnotes thereto the nature and conditions of such transfer; and in the case of (b) that the lock-up party notifies the underwriter at least two business days prior to the proposed transfer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in its sole discretion, may release the securities subject to any of the lock-up agreements with the underwriter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 against certain liabilities, including liabilities under the Securities Act of 1933.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“AVAH.”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connection with this offering, the underwriter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 of a greater number of shares of common stock than it is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 may close out any covered short position either by exercising its option to purchase additional shares, in whole or in part, or by purchasing shares in the open market. In making this determination, the underwriter will consider, among other things, the price of shares available for purchase in the open market compared to the price at which the underwriter may purchase shares through the option to purchase additional shares. A naked short position is more likely to be created if the underwriter is concerned that there may be downward pressure on the price of the common stock in the open market that could adversely affect investors who purchase in this offering. To the extent that the underwriter creates a naked short position, it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 has advised us that, pursuant to Regulation M of the Exchange Act, it may also engage in other activities that stabilize, maintain or otherwise affect the price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 commences these activities, it may discontinue them at any time. The underwriter may carry out these transactions on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or the underwriter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 and its affiliates have provided in the past to us and our affiliates and may provide from time to time in the future certain commercial banking, financial advisory, investment banking and other services for us and such affiliates in the ordinary course of its business, for which they have received and may continue to receive customary fees and commissions. In particular, RBC Capital Markets, LLC or its affiliates is a joint lead arranger and bookrunner, under our First Lien Credit Agreement, originally dated as of March 16, 2017.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European Economic Area </w:t>
      </w:r>
    </w:p>
    <w:p>
      <w:pPr>
        <w:pStyle w:val="TextBody"/>
        <w:bidi w:val="0"/>
        <w:spacing w:before="120" w:after="0"/>
        <w:jc w:val="left"/>
        <w:rPr>
          <w:rFonts w:ascii="Times New Roman" w:hAnsi="Times New Roman"/>
          <w:sz w:val="20"/>
        </w:rPr>
      </w:pPr>
      <w:r>
        <w:rPr>
          <w:rFonts w:ascii="Times New Roman" w:hAnsi="Times New Roman"/>
          <w:sz w:val="20"/>
        </w:rPr>
        <w:t>In relation to each Member State of the European Economic Area (each a “</w:t>
      </w:r>
      <w:r>
        <w:rPr>
          <w:rFonts w:ascii="Times New Roman" w:hAnsi="Times New Roman"/>
          <w:sz w:val="20"/>
          <w:u w:val="single"/>
        </w:rPr>
        <w:t>Relevant State</w:t>
      </w:r>
      <w:r>
        <w:rPr>
          <w:rFonts w:ascii="Times New Roman" w:hAnsi="Times New Roman"/>
          <w:sz w:val="20"/>
        </w:rPr>
        <w:t xml:space="preserv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underwriters;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made and will not make an offer of shares which are the subject of this prospectus supplement to the public in the United Kingdom except that it may make an offer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legal entity which is a qualified investor as defined in paragraph 15 of Schedule 1 to the POATRs; </w:t>
      </w:r>
    </w:p>
    <w:p>
      <w:pPr>
        <w:pStyle w:val="TextBody"/>
        <w:bidi w:val="0"/>
        <w:spacing w:before="12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in paragraph 15 of Schedule 1 to the POATRs) in the United Kingdom subject to obtaining the prior consent of the representative for any such offer; or </w:t>
      </w:r>
    </w:p>
    <w:p>
      <w:pPr>
        <w:pStyle w:val="TextBody"/>
        <w:bidi w:val="0"/>
        <w:spacing w:before="120" w:after="0"/>
        <w:jc w:val="left"/>
        <w:rPr>
          <w:rFonts w:ascii="Times New Roman" w:hAnsi="Times New Roman"/>
          <w:sz w:val="20"/>
        </w:rPr>
      </w:pPr>
      <w:r>
        <w:rPr>
          <w:rFonts w:ascii="Times New Roman" w:hAnsi="Times New Roman"/>
          <w:sz w:val="20"/>
        </w:rPr>
        <w:t xml:space="preserve">(c) in any other circumstances falling within Part 1 of Schedule 1 to the POATRs;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of shares to the public in relation to the shares means the communication in any form and by any means of sufficient information on the terms of the offer and the shares to be offered so as to enable an investor to decide to buy or subscribe for the shares and the expression “POATRs” means the Public Offers and Admissions to Trading Regulations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This prospectus supplement does not constitute an offer to the public or a solicitation to purchase or invest in any shares. No shares have been offered or will be offered to the public in Switzerland, except that offers of shares may be made to the public in Switzerland at any time under the following exemptions under the Swiss Financial Services Act (“</w:t>
      </w:r>
      <w:r>
        <w:rPr>
          <w:rFonts w:ascii="Times New Roman" w:hAnsi="Times New Roman"/>
          <w:sz w:val="20"/>
          <w:u w:val="single"/>
        </w:rPr>
        <w:t>FinSA</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require us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shares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document nor any other offering or marketing material relating to the shares constitutes a prospectus as such term is understood pursuant to the FinSA and neither this document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does not constitute a disclosure document or a prospectus under Chapter 6D.2 of the Corporations Act 2001 (Cth) (the “</w:t>
            </w:r>
            <w:r>
              <w:rPr>
                <w:rFonts w:ascii="Times New Roman" w:hAnsi="Times New Roman"/>
                <w:sz w:val="20"/>
                <w:u w:val="single"/>
              </w:rPr>
              <w:t>Corporations Act</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has not been, and will not be, lodged with the Australian Securities and Investments Commission (“</w:t>
            </w:r>
            <w:r>
              <w:rPr>
                <w:rFonts w:ascii="Times New Roman" w:hAnsi="Times New Roman"/>
                <w:sz w:val="20"/>
                <w:u w:val="single"/>
              </w:rPr>
              <w:t>ASIC</w:t>
            </w:r>
            <w:r>
              <w:rPr>
                <w:rFonts w:ascii="Times New Roman" w:hAnsi="Times New Roman"/>
                <w:sz w:val="20"/>
              </w:rPr>
              <w:t xml:space="preserve">”),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may only be provided in Australia to select investors who are able to demonstrate that they fall within one or more of the categories of investors, available under section 708 of the Corporations Act (“</w:t>
            </w:r>
            <w:r>
              <w:rPr>
                <w:rFonts w:ascii="Times New Roman" w:hAnsi="Times New Roman"/>
                <w:sz w:val="20"/>
                <w:u w:val="single"/>
              </w:rPr>
              <w:t>Exempt Investors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The shares have not been offered or sold and will not be offered or sold in Hong Kong, by means of any document, other than (a) to “professional investors” as defined in the Securities and Futures Ordinance (Cap. 571 of the Laws of Hong Kong) (the “</w:t>
      </w:r>
      <w:r>
        <w:rPr>
          <w:rFonts w:ascii="Times New Roman" w:hAnsi="Times New Roman"/>
          <w:sz w:val="20"/>
          <w:u w:val="single"/>
        </w:rPr>
        <w:t>SFO</w:t>
      </w:r>
      <w:r>
        <w:rPr>
          <w:rFonts w:ascii="Times New Roman" w:hAnsi="Times New Roman"/>
          <w:sz w:val="20"/>
        </w:rPr>
        <w:t>”) of Hong Kong and any rules made thereunder; or (b) in other circumstances which do not result in the document being a “prospectus” as defined in the Companies (Winding Up and Miscellaneous Provisions) Ordinance (Cap. 32 of Hong Kong) (the “</w:t>
      </w:r>
      <w:r>
        <w:rPr>
          <w:rFonts w:ascii="Times New Roman" w:hAnsi="Times New Roman"/>
          <w:sz w:val="20"/>
          <w:u w:val="single"/>
        </w:rPr>
        <w:t>CO</w:t>
      </w:r>
      <w:r>
        <w:rPr>
          <w:rFonts w:ascii="Times New Roman" w:hAnsi="Times New Roman"/>
          <w:sz w:val="20"/>
        </w:rPr>
        <w:t xml:space="preserve">”)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representative has acknowledged that this prospectus supplement has not been registered as a prospectus with the Monetary Authority of Singapore. Accordingly, each representative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to an institutional investor (as defined in Section 4A of the Securities and Futures Act (Chapter 289) of Singapore, as modified or amended from time to time (the “</w:t>
            </w:r>
            <w:r>
              <w:rPr>
                <w:rFonts w:ascii="Times New Roman" w:hAnsi="Times New Roman"/>
                <w:sz w:val="20"/>
                <w:u w:val="single"/>
              </w:rPr>
              <w:t>SFA</w:t>
            </w:r>
            <w:r>
              <w:rPr>
                <w:rFonts w:ascii="Times New Roman" w:hAnsi="Times New Roman"/>
                <w:sz w:val="20"/>
              </w:rPr>
              <w:t xml:space="preserve">”))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tx321536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shares of common stock offered hereby will be passed upon for us by King &amp; Spalding LLP. The underwriter is being represented by Davis Polk &amp; Wardwell LLP in connection with this offering. </w:t>
      </w:r>
    </w:p>
    <w:p>
      <w:pPr>
        <w:pStyle w:val="TextBody"/>
        <w:bidi w:val="0"/>
        <w:spacing w:before="480" w:after="0"/>
        <w:jc w:val="center"/>
        <w:rPr>
          <w:rFonts w:ascii="Times New Roman" w:hAnsi="Times New Roman"/>
          <w:b/>
          <w:sz w:val="20"/>
        </w:rPr>
      </w:pPr>
      <w:bookmarkStart w:id="12" w:name="supptx321536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10-K for the year ended January 3, 2026, and the effectiveness of our internal control over financial reporting as of January 3, 2026,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 </w:t>
      </w:r>
    </w:p>
    <w:p>
      <w:pPr>
        <w:pStyle w:val="TextBody"/>
        <w:bidi w:val="0"/>
        <w:spacing w:before="480" w:after="0"/>
        <w:jc w:val="center"/>
        <w:rPr>
          <w:rFonts w:ascii="Times New Roman" w:hAnsi="Times New Roman"/>
          <w:b/>
          <w:sz w:val="20"/>
        </w:rPr>
      </w:pPr>
      <w:bookmarkStart w:id="13" w:name="supptx321536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with respect to the common stock offered by this prospectus supplement and the accompanying prospectus. This prospectus supplement and accompanying prospectus, which constitutes part of the registration statement, does not contain all the information set forth in the registration statement and its exhibits and schedules and the documents incorporated by reference therein. Statements contained in this prospectus supplement or the accompanying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reporting requirements of the Exchange Act and are required to file annual, quarterly and other reports, proxy statements and other information with the SEC. The SEC maintains a website that contains reports, proxy and information statements, and various other information about us. The address of that website is http://www.sec.gov. You may also inspect the documents described herein at our principal executive offices, 400 Interstate North Parkway SE, Atlanta, GA, 30339, during normal business hours. </w:t>
      </w:r>
    </w:p>
    <w:p>
      <w:pPr>
        <w:pStyle w:val="TextBody"/>
        <w:bidi w:val="0"/>
        <w:spacing w:before="240" w:after="0"/>
        <w:jc w:val="left"/>
        <w:rPr>
          <w:rFonts w:ascii="Times New Roman" w:hAnsi="Times New Roman"/>
          <w:sz w:val="20"/>
        </w:rPr>
      </w:pPr>
      <w:r>
        <w:rPr>
          <w:rFonts w:ascii="Times New Roman" w:hAnsi="Times New Roman"/>
          <w:sz w:val="20"/>
        </w:rPr>
        <w:t xml:space="preserve">Information about us is also available at our website at www.aveanna.com. There we make available free of charge, on or through the investor relations section of our website, annual reports on Form 10-K, quarterly reports on Form 10-Q, current reports on Form 8-K and amendments to those reports filed pursuant to Section 13(a) or 15(d) of the Exchange Act as soon as reasonably practicable after we electronically file such material with the SEC. However, the information contained on, or accessible through, our website is not a part of this prospectus supplement or the accompanying prospectus and is not incorporated by reference into this prospectus supplement or the accompanying prospectus. </w:t>
      </w:r>
    </w:p>
    <w:p>
      <w:pPr>
        <w:pStyle w:val="TextBody"/>
        <w:bidi w:val="0"/>
        <w:spacing w:before="480" w:after="0"/>
        <w:jc w:val="center"/>
        <w:rPr>
          <w:rFonts w:ascii="Times New Roman" w:hAnsi="Times New Roman"/>
          <w:b/>
          <w:sz w:val="20"/>
        </w:rPr>
      </w:pPr>
      <w:bookmarkStart w:id="14" w:name="supptx321536_12"/>
      <w:bookmarkEnd w:id="14"/>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SEC’s rules allow us to “incorporate by reference” information into this prospectus supplement and the accompanying prospectus, which means that we can disclose important information to you by referring you to another document filed separately with the SEC. The information that we incorporate by reference is considered to be part of this prospectus supplement and the accompanying prospectus. Information that we file with the SEC in the future and incorporate by reference in this prospectus supplement and the accompanying prospectus automatically updates and supersedes previously filed information as applicable.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and the accompanying prospectus the following documents filed by us with the SEC, other than any portion of any such documents that is not deemed “filed” under the Exchange Act in accordance with the Exchange Act and applicable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January 3, 2026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April 4, 2026 and July 4, 2026, filed with the SEC on </w:t>
            </w:r>
            <w:hyperlink r:id="rId4">
              <w:r>
                <w:rPr>
                  <w:rStyle w:val="InternetLink"/>
                  <w:rFonts w:ascii="Times New Roman" w:hAnsi="Times New Roman"/>
                  <w:sz w:val="20"/>
                </w:rPr>
                <w:t>May  14, 2026</w:t>
              </w:r>
            </w:hyperlink>
            <w:r>
              <w:rPr>
                <w:rFonts w:ascii="Times New Roman" w:hAnsi="Times New Roman"/>
                <w:sz w:val="20"/>
              </w:rPr>
              <w:t xml:space="preserve"> and </w:t>
            </w:r>
            <w:hyperlink r:id="rId5">
              <w:r>
                <w:rPr>
                  <w:rStyle w:val="InternetLink"/>
                  <w:rFonts w:ascii="Times New Roman" w:hAnsi="Times New Roman"/>
                  <w:sz w:val="20"/>
                </w:rPr>
                <w:t>August 13,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February 20, 2026</w:t>
              </w:r>
            </w:hyperlink>
            <w:r>
              <w:rPr>
                <w:rFonts w:ascii="Times New Roman" w:hAnsi="Times New Roman"/>
                <w:sz w:val="20"/>
              </w:rPr>
              <w:t xml:space="preserve">, </w:t>
            </w:r>
            <w:hyperlink r:id="rId7">
              <w:r>
                <w:rPr>
                  <w:rStyle w:val="InternetLink"/>
                  <w:rFonts w:ascii="Times New Roman" w:hAnsi="Times New Roman"/>
                  <w:sz w:val="20"/>
                </w:rPr>
                <w:t>February  27, 2026</w:t>
              </w:r>
            </w:hyperlink>
            <w:r>
              <w:rPr>
                <w:rFonts w:ascii="Times New Roman" w:hAnsi="Times New Roman"/>
                <w:sz w:val="20"/>
              </w:rPr>
              <w:t xml:space="preserve">, </w:t>
            </w:r>
            <w:hyperlink r:id="rId8">
              <w:r>
                <w:rPr>
                  <w:rStyle w:val="InternetLink"/>
                  <w:rFonts w:ascii="Times New Roman" w:hAnsi="Times New Roman"/>
                  <w:sz w:val="20"/>
                </w:rPr>
                <w:t>March  12, 2026</w:t>
              </w:r>
            </w:hyperlink>
            <w:r>
              <w:rPr>
                <w:rFonts w:ascii="Times New Roman" w:hAnsi="Times New Roman"/>
                <w:sz w:val="20"/>
              </w:rPr>
              <w:t xml:space="preserve">, </w:t>
            </w:r>
            <w:hyperlink r:id="rId9">
              <w:r>
                <w:rPr>
                  <w:rStyle w:val="InternetLink"/>
                  <w:rFonts w:ascii="Times New Roman" w:hAnsi="Times New Roman"/>
                  <w:sz w:val="20"/>
                </w:rPr>
                <w:t>May  28, 2026</w:t>
              </w:r>
            </w:hyperlink>
            <w:r>
              <w:rPr>
                <w:rFonts w:ascii="Times New Roman" w:hAnsi="Times New Roman"/>
                <w:sz w:val="20"/>
              </w:rPr>
              <w:t xml:space="preserve">, </w:t>
            </w:r>
            <w:hyperlink r:id="rId10">
              <w:r>
                <w:rPr>
                  <w:rStyle w:val="InternetLink"/>
                  <w:rFonts w:ascii="Times New Roman" w:hAnsi="Times New Roman"/>
                  <w:sz w:val="20"/>
                </w:rPr>
                <w:t>May  29, 2026</w:t>
              </w:r>
            </w:hyperlink>
            <w:r>
              <w:rPr>
                <w:rFonts w:ascii="Times New Roman" w:hAnsi="Times New Roman"/>
                <w:sz w:val="20"/>
              </w:rPr>
              <w:t xml:space="preserve">, </w:t>
            </w:r>
            <w:hyperlink r:id="rId11">
              <w:r>
                <w:rPr>
                  <w:rStyle w:val="InternetLink"/>
                  <w:rFonts w:ascii="Times New Roman" w:hAnsi="Times New Roman"/>
                  <w:sz w:val="20"/>
                </w:rPr>
                <w:t>June  2, 2026</w:t>
              </w:r>
            </w:hyperlink>
            <w:r>
              <w:rPr>
                <w:rFonts w:ascii="Times New Roman" w:hAnsi="Times New Roman"/>
                <w:sz w:val="20"/>
              </w:rPr>
              <w:t xml:space="preserve">, and </w:t>
            </w:r>
            <w:hyperlink r:id="rId12">
              <w:r>
                <w:rPr>
                  <w:rStyle w:val="InternetLink"/>
                  <w:rFonts w:ascii="Times New Roman" w:hAnsi="Times New Roman"/>
                  <w:sz w:val="20"/>
                </w:rPr>
                <w:t>August 7, 2026</w:t>
              </w:r>
            </w:hyperlink>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w:t>
            </w:r>
            <w:hyperlink r:id="rId13">
              <w:r>
                <w:rPr>
                  <w:rStyle w:val="InternetLink"/>
                  <w:rFonts w:ascii="Times New Roman" w:hAnsi="Times New Roman"/>
                  <w:sz w:val="20"/>
                </w:rPr>
                <w:t>Definitive Proxy Statement on Schedule 14A</w:t>
              </w:r>
            </w:hyperlink>
            <w:r>
              <w:rPr>
                <w:rFonts w:ascii="Times New Roman" w:hAnsi="Times New Roman"/>
                <w:sz w:val="20"/>
              </w:rPr>
              <w:t xml:space="preserve"> filed in connection with our Annual Meeting of Stockholders held on May 29, 2026, filed with the SEC on April  17, 2026 (solely to the extent incorporated by reference into Part III of our Annual Report on </w:t>
            </w:r>
            <w:hyperlink r:id="rId14">
              <w:r>
                <w:rPr>
                  <w:rStyle w:val="InternetLink"/>
                  <w:rFonts w:ascii="Times New Roman" w:hAnsi="Times New Roman"/>
                  <w:sz w:val="20"/>
                </w:rPr>
                <w:t>Form 10-K</w:t>
              </w:r>
            </w:hyperlink>
            <w:r>
              <w:rPr>
                <w:rFonts w:ascii="Times New Roman" w:hAnsi="Times New Roman"/>
                <w:sz w:val="20"/>
              </w:rPr>
              <w:t xml:space="preserve"> for the fiscal year ended January 3,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Registration Statement on </w:t>
            </w:r>
            <w:hyperlink r:id="rId15">
              <w:r>
                <w:rPr>
                  <w:rStyle w:val="InternetLink"/>
                  <w:rFonts w:ascii="Times New Roman" w:hAnsi="Times New Roman"/>
                  <w:sz w:val="20"/>
                </w:rPr>
                <w:t>Form 8-A</w:t>
              </w:r>
            </w:hyperlink>
            <w:r>
              <w:rPr>
                <w:rFonts w:ascii="Times New Roman" w:hAnsi="Times New Roman"/>
                <w:sz w:val="20"/>
              </w:rPr>
              <w:t xml:space="preserve"> filed with the SEC on April 26, 2021 (File No. 001-40362), which describes the terms, rights and provisions applicable to the shares of the Common Stock, including any amendment or report filed for the purpose of updating such description, including the description of the common stock filed as </w:t>
            </w:r>
            <w:hyperlink r:id="rId16">
              <w:r>
                <w:rPr>
                  <w:rStyle w:val="InternetLink"/>
                  <w:rFonts w:ascii="Times New Roman" w:hAnsi="Times New Roman"/>
                  <w:sz w:val="20"/>
                </w:rPr>
                <w:t>Exhibit 4.1</w:t>
              </w:r>
            </w:hyperlink>
            <w:r>
              <w:rPr>
                <w:rFonts w:ascii="Times New Roman" w:hAnsi="Times New Roman"/>
                <w:sz w:val="20"/>
              </w:rPr>
              <w:t xml:space="preserve"> to our Annual Report on Form 10-K filed on March 28,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and any other information that is identified as “furnished” rather than filed, which information is not incorporated by reference herein) prior to the termination of this offering, will be deemed to be incorporated herein by reference and to be a part of this prospectus supplement and the accompanying prospectus from the date of the filing of such documents. Any statement contained in a document incorporated herein by reference will be deemed to be modified or superseded for purposes of this prospectus supplement and the accompanying prospectus to the extent that a statement contained herein, or in a subsequently filed document incorporated herein by reference, modifies or supersedes the statement. Any statement modified or superseded will not be deemed, except as modified or superseded, to constitute a part of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prospectus supplement and accompanying prospectus is delivered, upon written or oral request of that person, a copy of any and all of the information that has been incorporated by reference in this prospectus supplement and the accompanying prospectus but not delivered with this prospectus supplement (excluding exhibits unless specifically incorporated by reference into those documents). Please direct requests to us at the following address: </w:t>
      </w:r>
    </w:p>
    <w:p>
      <w:pPr>
        <w:pStyle w:val="TextBody"/>
        <w:bidi w:val="0"/>
        <w:spacing w:before="240" w:after="0"/>
        <w:jc w:val="center"/>
        <w:rPr>
          <w:rFonts w:ascii="Times New Roman" w:hAnsi="Times New Roman"/>
          <w:b/>
          <w:sz w:val="20"/>
        </w:rPr>
      </w:pPr>
      <w:r>
        <w:rPr>
          <w:rFonts w:ascii="Times New Roman" w:hAnsi="Times New Roman"/>
          <w:b/>
          <w:sz w:val="20"/>
        </w:rPr>
        <w:t xml:space="preserve">Aveanna Healthcare Holdings Inc. </w:t>
      </w:r>
    </w:p>
    <w:p>
      <w:pPr>
        <w:pStyle w:val="TextBody"/>
        <w:bidi w:val="0"/>
        <w:spacing w:before="0" w:after="0"/>
        <w:jc w:val="center"/>
        <w:rPr>
          <w:rFonts w:ascii="Times New Roman" w:hAnsi="Times New Roman"/>
          <w:b/>
          <w:sz w:val="20"/>
        </w:rPr>
      </w:pPr>
      <w:r>
        <w:rPr>
          <w:rFonts w:ascii="Times New Roman" w:hAnsi="Times New Roman"/>
          <w:b/>
          <w:sz w:val="20"/>
        </w:rPr>
        <w:t xml:space="preserve">400 Interstate North Parkway SE </w:t>
      </w:r>
    </w:p>
    <w:p>
      <w:pPr>
        <w:pStyle w:val="TextBody"/>
        <w:bidi w:val="0"/>
        <w:spacing w:before="0" w:after="0"/>
        <w:jc w:val="center"/>
        <w:rPr>
          <w:rFonts w:ascii="Times New Roman" w:hAnsi="Times New Roman"/>
          <w:b/>
          <w:sz w:val="20"/>
        </w:rPr>
      </w:pPr>
      <w:r>
        <w:rPr>
          <w:rFonts w:ascii="Times New Roman" w:hAnsi="Times New Roman"/>
          <w:b/>
          <w:sz w:val="20"/>
        </w:rPr>
        <w:t xml:space="preserve">Atlanta, Georgia 30339 </w:t>
      </w:r>
    </w:p>
    <w:p>
      <w:pPr>
        <w:pStyle w:val="TextBody"/>
        <w:bidi w:val="0"/>
        <w:spacing w:before="0" w:after="0"/>
        <w:jc w:val="center"/>
        <w:rPr>
          <w:rFonts w:ascii="Times New Roman" w:hAnsi="Times New Roman"/>
          <w:b/>
          <w:sz w:val="20"/>
        </w:rPr>
      </w:pPr>
      <w:r>
        <w:rPr>
          <w:rFonts w:ascii="Times New Roman" w:hAnsi="Times New Roman"/>
          <w:b/>
          <w:sz w:val="20"/>
        </w:rPr>
        <w:t xml:space="preserve">(770) 441-1580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Dated September 16, 2024 </w:t>
      </w:r>
    </w:p>
    <w:p>
      <w:pPr>
        <w:pStyle w:val="TextBody"/>
        <w:bidi w:val="0"/>
        <w:spacing w:before="240" w:after="0"/>
        <w:jc w:val="center"/>
        <w:rPr>
          <w:rFonts w:ascii="Times New Roman" w:hAnsi="Times New Roman"/>
          <w:b/>
          <w:sz w:val="48"/>
        </w:rPr>
      </w:pPr>
      <w:r>
        <w:rPr>
          <w:rFonts w:ascii="Times New Roman" w:hAnsi="Times New Roman"/>
          <w:b/>
          <w:sz w:val="48"/>
        </w:rPr>
        <w:t xml:space="preserve">Aveanna Healthcare Holdings Inc. </w:t>
      </w:r>
    </w:p>
    <w:p>
      <w:pPr>
        <w:pStyle w:val="TextBody"/>
        <w:bidi w:val="0"/>
        <w:spacing w:before="0" w:after="0"/>
        <w:jc w:val="left"/>
        <w:rPr/>
      </w:pPr>
      <w:r>
        <w:rPr/>
        <w:t> </w:t>
      </w:r>
    </w:p>
    <w:p>
      <w:pPr>
        <w:pStyle w:val="TextBody"/>
        <w:bidi w:val="0"/>
        <w:spacing w:before="0" w:after="0"/>
        <w:jc w:val="center"/>
        <w:rPr/>
      </w:pPr>
      <w:r>
        <w:rPr/>
        <w:drawing>
          <wp:inline distT="0" distB="0" distL="0" distR="0">
            <wp:extent cx="1714500" cy="923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1714500" cy="92392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$400,000,000 of Common Stock, Debt Securities, Warrants, Rights and Units </w:t>
      </w:r>
    </w:p>
    <w:p>
      <w:pPr>
        <w:pStyle w:val="TextBody"/>
        <w:bidi w:val="0"/>
        <w:spacing w:before="0" w:after="0"/>
        <w:jc w:val="center"/>
        <w:rPr>
          <w:rFonts w:ascii="Times New Roman" w:hAnsi="Times New Roman"/>
          <w:b/>
          <w:sz w:val="28"/>
        </w:rPr>
      </w:pPr>
      <w:r>
        <w:rPr>
          <w:rFonts w:ascii="Times New Roman" w:hAnsi="Times New Roman"/>
          <w:b/>
          <w:sz w:val="28"/>
        </w:rPr>
        <w:t xml:space="preserve">Offered by the Company and </w:t>
      </w:r>
    </w:p>
    <w:p>
      <w:pPr>
        <w:pStyle w:val="TextBody"/>
        <w:bidi w:val="0"/>
        <w:spacing w:before="0" w:after="0"/>
        <w:jc w:val="center"/>
        <w:rPr>
          <w:rFonts w:ascii="Times New Roman" w:hAnsi="Times New Roman"/>
          <w:b/>
          <w:sz w:val="28"/>
        </w:rPr>
      </w:pPr>
      <w:r>
        <w:rPr>
          <w:rFonts w:ascii="Times New Roman" w:hAnsi="Times New Roman"/>
          <w:b/>
          <w:sz w:val="28"/>
        </w:rPr>
        <w:t xml:space="preserve">Up to 54,431,349 Shares of Common Stock Offered by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Aveanna Healthcare Holdings Inc. (“</w:t>
      </w:r>
      <w:r>
        <w:rPr>
          <w:rFonts w:ascii="Times New Roman" w:hAnsi="Times New Roman"/>
          <w:sz w:val="20"/>
          <w:u w:val="single"/>
        </w:rPr>
        <w:t>Aveanna,” “we,” “us,” “our” or the “Company”) may from time to time, offer to sell, in one or more offerings,</w:t>
      </w:r>
      <w:r>
        <w:rPr>
          <w:rFonts w:ascii="Times New Roman" w:hAnsi="Times New Roman"/>
          <w:sz w:val="20"/>
        </w:rPr>
        <w:t xml:space="preserve"> </w:t>
      </w:r>
      <w:r>
        <w:rPr>
          <w:rFonts w:ascii="Times New Roman" w:hAnsi="Times New Roman"/>
          <w:sz w:val="20"/>
          <w:u w:val="single"/>
        </w:rPr>
        <w:t>shares of common stock, senior debt securities, subordinated debt securities, warrants, rights and units (collectively, the “securities”), as described in this 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selling stockholders may from time to time offer to sell up to 54,431,349 shares of our common stock. We will not receive any of the proceeds from the sale of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Each time we offer, or a selling stockholder offers, any securities pursuant to this prospectus, we will provide specific information about the offering and the specific terms, amounts and offering prices of the securities being offered in one or more prospectus supplements, which may also add to, update, supplement or clarify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or a selling stockholder may offer and sell our securities to or through one or more agents, underwriters, dealers or other third parties or directly to one or more purchasers on a continuous or delayed basis. If any agents or underwriters are involved in the sale of any of these securities, the applicable prospectus supplement will set forth the names of the agents or underwriters and any applicable fees, commissions or discounts. Our net proceeds from the sale of securities, if any, will also be set forth in the applicable prospectus supplement. For general information about the distribution of securities offered, please see “Plan of Distribution” beginning on page 25.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under the symbol “AVAH”. On September 5, 2024, the closing price of our common stock was $5.76.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Before buying any offered securities, you should carefully consider the risk factors contained in this prospectus under the heading “</w:t>
      </w:r>
      <w:hyperlink w:anchor="tx321536_2">
        <w:r>
          <w:rPr>
            <w:rStyle w:val="InternetLink"/>
            <w:rFonts w:ascii="Times New Roman" w:hAnsi="Times New Roman"/>
            <w:b/>
            <w:sz w:val="24"/>
          </w:rPr>
          <w:t>Risk Factors</w:t>
        </w:r>
      </w:hyperlink>
      <w:r>
        <w:rPr>
          <w:rFonts w:ascii="Times New Roman" w:hAnsi="Times New Roman"/>
          <w:b/>
          <w:sz w:val="24"/>
        </w:rPr>
        <w:t xml:space="preserve">,” beginning on page 2 of this prospectus and in the “Risk Factors” section of the documents incorporated by reference in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16,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66"/>
        <w:gridCol w:w="260"/>
        <w:gridCol w:w="96"/>
        <w:gridCol w:w="421"/>
        <w:gridCol w:w="62"/>
      </w:tblGrid>
      <w:tr>
        <w:trPr/>
        <w:tc>
          <w:tcPr>
            <w:tcW w:w="9366" w:type="dxa"/>
            <w:tcBorders/>
            <w:vAlign w:val="center"/>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66"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
              <w:r>
                <w:rPr>
                  <w:rStyle w:val="InternetLink"/>
                  <w:rFonts w:ascii="Times New Roman" w:hAnsi="Times New Roman"/>
                  <w:sz w:val="20"/>
                </w:rPr>
                <w:t>ABOUT THIS PROSPECTUS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2">
              <w:r>
                <w:rPr>
                  <w:rStyle w:val="InternetLink"/>
                  <w:rFonts w:ascii="Times New Roman" w:hAnsi="Times New Roman"/>
                  <w:sz w:val="20"/>
                </w:rPr>
                <w:t>RISK FACTORS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3">
              <w:r>
                <w:rPr>
                  <w:rStyle w:val="InternetLink"/>
                  <w:rFonts w:ascii="Times New Roman" w:hAnsi="Times New Roman"/>
                  <w:sz w:val="20"/>
                </w:rPr>
                <w:t>CAUTIONARY STATEMENT REGARDING FORWARD-LOOKING STATEMENTS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4">
              <w:r>
                <w:rPr>
                  <w:rStyle w:val="InternetLink"/>
                  <w:rFonts w:ascii="Times New Roman" w:hAnsi="Times New Roman"/>
                  <w:sz w:val="20"/>
                </w:rPr>
                <w:t>THE COMPANY</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5">
              <w:r>
                <w:rPr>
                  <w:rStyle w:val="InternetLink"/>
                  <w:rFonts w:ascii="Times New Roman" w:hAnsi="Times New Roman"/>
                  <w:sz w:val="20"/>
                </w:rPr>
                <w:t>USE OF PROCEEDS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6">
              <w:r>
                <w:rPr>
                  <w:rStyle w:val="InternetLink"/>
                  <w:rFonts w:ascii="Times New Roman" w:hAnsi="Times New Roman"/>
                  <w:sz w:val="20"/>
                </w:rPr>
                <w:t>DESCRIPTION OF CAPITAL STOCK</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7">
              <w:r>
                <w:rPr>
                  <w:rStyle w:val="InternetLink"/>
                  <w:rFonts w:ascii="Times New Roman" w:hAnsi="Times New Roman"/>
                  <w:sz w:val="20"/>
                </w:rPr>
                <w:t>DESCRIPTION OF WARRANTS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8">
              <w:r>
                <w:rPr>
                  <w:rStyle w:val="InternetLink"/>
                  <w:rFonts w:ascii="Times New Roman" w:hAnsi="Times New Roman"/>
                  <w:sz w:val="20"/>
                </w:rPr>
                <w:t>DESCRIPTION OF RIGHTS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9">
              <w:r>
                <w:rPr>
                  <w:rStyle w:val="InternetLink"/>
                  <w:rFonts w:ascii="Times New Roman" w:hAnsi="Times New Roman"/>
                  <w:sz w:val="20"/>
                </w:rPr>
                <w:t>DESCRIPTION OF UNITS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0">
              <w:r>
                <w:rPr>
                  <w:rStyle w:val="InternetLink"/>
                  <w:rFonts w:ascii="Times New Roman" w:hAnsi="Times New Roman"/>
                  <w:sz w:val="20"/>
                </w:rPr>
                <w:t>FORMS OF SECURITIES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1">
              <w:r>
                <w:rPr>
                  <w:rStyle w:val="InternetLink"/>
                  <w:rFonts w:ascii="Times New Roman" w:hAnsi="Times New Roman"/>
                  <w:sz w:val="20"/>
                </w:rPr>
                <w:t>SELLING STOCKHOLDERS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22</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2">
              <w:r>
                <w:rPr>
                  <w:rStyle w:val="InternetLink"/>
                  <w:rFonts w:ascii="Times New Roman" w:hAnsi="Times New Roman"/>
                  <w:sz w:val="20"/>
                </w:rPr>
                <w:t>PLAN OF DISTRIBUTION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3">
              <w:r>
                <w:rPr>
                  <w:rStyle w:val="InternetLink"/>
                  <w:rFonts w:ascii="Times New Roman" w:hAnsi="Times New Roman"/>
                  <w:sz w:val="20"/>
                </w:rPr>
                <w:t>LEGAL MATTERS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4">
              <w:r>
                <w:rPr>
                  <w:rStyle w:val="InternetLink"/>
                  <w:rFonts w:ascii="Times New Roman" w:hAnsi="Times New Roman"/>
                  <w:sz w:val="20"/>
                </w:rPr>
                <w:t>EXPERTS</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5">
              <w:r>
                <w:rPr>
                  <w:rStyle w:val="InternetLink"/>
                  <w:rFonts w:ascii="Times New Roman" w:hAnsi="Times New Roman"/>
                  <w:sz w:val="20"/>
                </w:rPr>
                <w:t>INCORPORATION OF CERTAIN DOCUMENTS BY REFERENCE</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366" w:type="dxa"/>
            <w:tcBorders/>
          </w:tcPr>
          <w:p>
            <w:pPr>
              <w:pStyle w:val="TableContents"/>
              <w:bidi w:val="0"/>
              <w:spacing w:before="0" w:after="0"/>
              <w:jc w:val="left"/>
              <w:rPr/>
            </w:pPr>
            <w:hyperlink w:anchor="tx321536_16">
              <w:r>
                <w:rPr>
                  <w:rStyle w:val="InternetLink"/>
                  <w:rFonts w:ascii="Times New Roman" w:hAnsi="Times New Roman"/>
                  <w:sz w:val="20"/>
                </w:rPr>
                <w:t>WHERE YOU CAN FIND MORE INFORMATION</w:t>
              </w:r>
            </w:hyperlink>
          </w:p>
        </w:tc>
        <w:tc>
          <w:tcPr>
            <w:tcW w:w="2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321536_1"/>
      <w:bookmarkEnd w:id="15"/>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on Form S-3 that we filed with the U.S. Securities and Exchange Commission (the “</w:t>
      </w:r>
      <w:r>
        <w:rPr>
          <w:rFonts w:ascii="Times New Roman" w:hAnsi="Times New Roman"/>
          <w:sz w:val="20"/>
          <w:u w:val="single"/>
        </w:rPr>
        <w:t>SEC</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xml:space="preserve">”), using a “shelf” registration process. Under this shelf process, we may sell the securities described in this prospectus in one or more offerings up to a total price to the public of $400,000,000. The selling stockholders may sell up to 54,431,349 shares of common stock in one or more offerings.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that agreement or document for a complete description of these matters.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only a general description of the securities we or the selling stockholders may offer. Each time we or the selling stockholders offer securities, we will provide a prospectus supplement that will describe the specific amounts, prices and terms of the offered securities. Any prospectus supplement may also add, update or change information contained in this prospectus. Any statement that we make in this prospectus will be modified or superseded by any inconsistent statement made by us in a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read both this prospectus and any applicable prospectus supplement and any related free writing prospectus, together with additional information incorporated herein by reference as described under the headings “Where You Can Find More Information” and “Incorporation of Certain Documents By Reference” before deciding to invest in any of the securities being offered. Information incorporated by reference after the date of this prospectus is considered a part of this prospectus and may add, update or change information contained in this prospectus. Any information in such subsequent filings that is inconsistent with this prospectus or any prospectus supplement will supersede the information in this prospectus or such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the selling stockholders have authorized any other person to provide you with additional or different information than the information contained or incorporated by reference in this prospectus, any prospectus supplement and any free writing prospectus related to the applicable securities that is prepared by us or on our behalf or that is otherwise authorized by us.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 You should assume that the information appearing in this prospectus, as well as information we have previously filed with the SEC and incorporate herein by reference, is accurate only as of the date on the front cover of this prospectus. Our business, financial condition, results of operations and prospects may have changed since that date. </w:t>
      </w:r>
    </w:p>
    <w:p>
      <w:pPr>
        <w:pStyle w:val="TextBody"/>
        <w:bidi w:val="0"/>
        <w:spacing w:before="240" w:after="0"/>
        <w:jc w:val="left"/>
        <w:rPr>
          <w:rFonts w:ascii="Times New Roman" w:hAnsi="Times New Roman"/>
          <w:sz w:val="20"/>
        </w:rPr>
      </w:pPr>
      <w:r>
        <w:rPr>
          <w:rFonts w:ascii="Times New Roman" w:hAnsi="Times New Roman"/>
          <w:sz w:val="20"/>
        </w:rPr>
        <w:t>References in this prospectus to the “</w:t>
      </w:r>
      <w:r>
        <w:rPr>
          <w:rFonts w:ascii="Times New Roman" w:hAnsi="Times New Roman"/>
          <w:sz w:val="20"/>
          <w:u w:val="single"/>
        </w:rPr>
        <w:t>Registrant</w:t>
      </w:r>
      <w:r>
        <w:rPr>
          <w:rFonts w:ascii="Times New Roman" w:hAnsi="Times New Roman"/>
          <w:sz w:val="20"/>
        </w:rPr>
        <w:t>,” “</w:t>
      </w:r>
      <w:r>
        <w:rPr>
          <w:rFonts w:ascii="Times New Roman" w:hAnsi="Times New Roman"/>
          <w:sz w:val="20"/>
          <w:u w:val="single"/>
        </w:rPr>
        <w:t>Aveanna</w:t>
      </w:r>
      <w:r>
        <w:rPr>
          <w:rFonts w:ascii="Times New Roman" w:hAnsi="Times New Roman"/>
          <w:sz w:val="20"/>
        </w:rPr>
        <w:t>,”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and “</w:t>
      </w:r>
      <w:r>
        <w:rPr>
          <w:rFonts w:ascii="Times New Roman" w:hAnsi="Times New Roman"/>
          <w:sz w:val="20"/>
          <w:u w:val="single"/>
        </w:rPr>
        <w:t>our</w:t>
      </w:r>
      <w:r>
        <w:rPr>
          <w:rFonts w:ascii="Times New Roman" w:hAnsi="Times New Roman"/>
          <w:sz w:val="20"/>
        </w:rPr>
        <w:t xml:space="preserve">” refer to Aveanna Healthcare Holdings Inc. and its subsidiaries unless the context requires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321536_2"/>
      <w:bookmarkEnd w:id="1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purchase any of our securities, you should carefully consider the discussion of risks and uncertainties under the heading “Item 1A. Risk Factors” contained in our Annual Report on Form 10-K for the fiscal year ended December 30, 2023 filed with the SEC on March 14, 2024, which is incorporated by reference in this prospectus, and under similar headings in our subsequently filed Quarterly Reports on Form 10-Q and Annual Reports on Form 10-K, as well as the other risks and uncertainties described in any applicable prospectus supplement and in the other documents incorporated by reference in this prospectus. See the section entitled “Where You Can Find More Information” on page 29 of this prospectus. The risks and uncertainties we discuss in the documents incorporated by reference in this prospectus are those we currently believe may materially affect our company. Additional risks and uncertainties not presently known to us or that we currently believe are immaterial also may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x321536_3"/>
      <w:bookmarkEnd w:id="17"/>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Certain of the statements contained in this prospectus and in documents incorporated by reference in this prospectus are “forward-looking” statements as defined in the Private Securities Litigation Reform Act of 1995 (“</w:t>
      </w:r>
      <w:r>
        <w:rPr>
          <w:rFonts w:ascii="Times New Roman" w:hAnsi="Times New Roman"/>
          <w:sz w:val="20"/>
          <w:u w:val="single"/>
        </w:rPr>
        <w:t>PSLRA</w:t>
      </w:r>
      <w:r>
        <w:rPr>
          <w:rFonts w:ascii="Times New Roman" w:hAnsi="Times New Roman"/>
          <w:sz w:val="20"/>
        </w:rPr>
        <w:t>”), Section 27A of the Securities Act, and Section 21E of the Securities Exchange Act of 1934, as amended (the “</w:t>
      </w:r>
      <w:r>
        <w:rPr>
          <w:rFonts w:ascii="Times New Roman" w:hAnsi="Times New Roman"/>
          <w:sz w:val="20"/>
          <w:u w:val="single"/>
        </w:rPr>
        <w:t>Exchange Act</w:t>
      </w:r>
      <w:r>
        <w:rPr>
          <w:rFonts w:ascii="Times New Roman" w:hAnsi="Times New Roman"/>
          <w:sz w:val="20"/>
        </w:rPr>
        <w:t xml:space="preserve">”). Forward-looking statements include statements about our expectations, beliefs or intentions regarding our business, financial condition, results of operations, strategies or prospects. You can identify forward-looking statements by the fact that these statements do not relate strictly to historical or current matters. Rather, forward-looking statements relate to anticipated or expected events, activities, trends or results as of the date they are made.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 These factors include those described in “Item 1A-Risk Factors” of our Annual Report on Form 10-K for the fiscal year ended December 30, 2023, which is incorporated by reference in this prospectus. We do not undertake any obligation to update forward-looking statements, except to the extent required by applicable law. We intend that all forward-looking statements be subject to the safe-harbor provisions of the PSLRA. These forward-looking statements are only predictions and reflect our views as of the date they are made with respect to future events and financial performance.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the occurrence of which could adversely affect our business,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intense competition among home health, hospice and durable medical equipment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relationships with existing patient referral sources;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possibility that our business, financial condition and results of operations may be materially adversely affected by public health emergencies, such as a resurgence of the COVID-19 pandemic or other public health emergencies;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have services funded from third-party payers, including Medicare, Medicaid and private health insurance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to Medicare or Medicaid rates or methods governing Medicare or Medicaid payments, and the implementation of alternative payment models, including but not limited to Medicare Advantage, Managed Care Organization, managed Medicaid, and other forms of managed care;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downward pressure on reimbursement resulting from further proliferation of Medicare Advantage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ability to control reimbursement rates received for our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in collection or non-collection of our patient accounts receivable, particularly during the business integration process, or when transitioning between systems associated with clinical data collection and submission, as well as billing and collection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healthcare reform and other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case-mix of our patients, as well as payer mix and payment methodologies;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reduction in net reimbursement if we do not effectively implement value-based care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experienced employees and management personnel, and including both shortages in workforce and inflationary wage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maintain the security and functionality of our information systems or to defend against or otherwise prevent a cybersecurity attack or breach;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substantial indebtedness, which increases our vulnerability to general adverse economic and industry conditions and may limit our ability to pursue strategic alternatives and react to changes in our business and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acquire, successfully integrate and obtain financing for strategic and accretive acquisitions;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legal proceedings, claims and governmental inquiries given that the nature of our business exposes us to various liability claims, which may exceed the level of our insurance coverage.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Accordingly, there can be no assurance that the forward-looking statements contained herein will occur or that objectives will be achieved, and all such forward-looking statements are expressly qualified in their entirety by the factors above, as well as those contained in the “Risk Factors” sections of the reports we file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x321536_4"/>
      <w:bookmarkEnd w:id="18"/>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This summary highlights selected information about us and does not contain all the information that is important to you. You should carefully read this prospectus, each applicable prospectus supplement and the documents to which we have referred to in “Incorporation of Certain Documents by Reference” on page 28 of this prospectus for information about us and our financial condition and results of operation. </w:t>
      </w:r>
    </w:p>
    <w:p>
      <w:pPr>
        <w:pStyle w:val="TextBody"/>
        <w:bidi w:val="0"/>
        <w:spacing w:before="360" w:after="0"/>
        <w:jc w:val="left"/>
        <w:rPr>
          <w:rFonts w:ascii="Times New Roman" w:hAnsi="Times New Roman"/>
          <w:b/>
          <w:sz w:val="20"/>
        </w:rPr>
      </w:pPr>
      <w:r>
        <w:rPr>
          <w:rFonts w:ascii="Times New Roman" w:hAnsi="Times New Roman"/>
          <w:b/>
          <w:sz w:val="20"/>
        </w:rPr>
        <w:t xml:space="preserve">Overview </w:t>
      </w:r>
    </w:p>
    <w:p>
      <w:pPr>
        <w:pStyle w:val="TextBody"/>
        <w:bidi w:val="0"/>
        <w:spacing w:before="120" w:after="0"/>
        <w:jc w:val="left"/>
        <w:rPr>
          <w:rFonts w:ascii="Times New Roman" w:hAnsi="Times New Roman"/>
          <w:sz w:val="20"/>
        </w:rPr>
      </w:pPr>
      <w:r>
        <w:rPr>
          <w:rFonts w:ascii="Times New Roman" w:hAnsi="Times New Roman"/>
          <w:sz w:val="20"/>
        </w:rPr>
        <w:t xml:space="preserve">We are a leading, diversified home care platform focused on providing care to medically complex, high-cost patient populations. We directly address the most pressing challenges facing the U.S. healthcare system by providing safe, high-quality care in the home, the lower cost care setting preferred by patients. Our patient-centered care delivery platform is designed to improve the quality of care our patients receive, which allows them to remain in their homes and minimizes the overutilization of high-cost care settings such as hospitals. Our clinical model is led by our caregivers, primarily skilled nurses, who provide specialized care to address the complex needs of each patient we serve across the full range of patient populations: newborns, children, adults and seniors. We have invested significantly in our platform to bring together best-in-class talent at all levels of the organization and support such talent with industry leading training, clinical programs, infrastructure and technology-enabled systems, which are increasingly essential in an evolving healthcare industry. We believe our platform creates sustainable competitive advantages that support our ability to continue driving rapid growth, both organically and through acquisitions, and positions us as the partner of choice for the patients we serve. </w:t>
      </w:r>
    </w:p>
    <w:p>
      <w:pPr>
        <w:pStyle w:val="TextBody"/>
        <w:bidi w:val="0"/>
        <w:spacing w:before="360" w:after="0"/>
        <w:jc w:val="left"/>
        <w:rPr>
          <w:rFonts w:ascii="Times New Roman" w:hAnsi="Times New Roman"/>
          <w:b/>
          <w:sz w:val="20"/>
        </w:rPr>
      </w:pPr>
      <w:r>
        <w:rPr>
          <w:rFonts w:ascii="Times New Roman" w:hAnsi="Times New Roman"/>
          <w:b/>
          <w:sz w:val="20"/>
        </w:rPr>
        <w:t xml:space="preserve">Segments </w:t>
      </w:r>
    </w:p>
    <w:p>
      <w:pPr>
        <w:pStyle w:val="TextBody"/>
        <w:bidi w:val="0"/>
        <w:spacing w:before="120" w:after="0"/>
        <w:jc w:val="left"/>
        <w:rPr>
          <w:rFonts w:ascii="Times New Roman" w:hAnsi="Times New Roman"/>
          <w:sz w:val="20"/>
        </w:rPr>
      </w:pPr>
      <w:r>
        <w:rPr>
          <w:rFonts w:ascii="Times New Roman" w:hAnsi="Times New Roman"/>
          <w:sz w:val="20"/>
        </w:rPr>
        <w:t>We deliver our services to patients through three segments: Private Duty Services (“</w:t>
      </w:r>
      <w:r>
        <w:rPr>
          <w:rFonts w:ascii="Times New Roman" w:hAnsi="Times New Roman"/>
          <w:sz w:val="20"/>
          <w:u w:val="single"/>
        </w:rPr>
        <w:t>PDS</w:t>
      </w:r>
      <w:r>
        <w:rPr>
          <w:rFonts w:ascii="Times New Roman" w:hAnsi="Times New Roman"/>
          <w:sz w:val="20"/>
        </w:rPr>
        <w:t>”); Home Health &amp; Hospice (“</w:t>
      </w:r>
      <w:r>
        <w:rPr>
          <w:rFonts w:ascii="Times New Roman" w:hAnsi="Times New Roman"/>
          <w:sz w:val="20"/>
          <w:u w:val="single"/>
        </w:rPr>
        <w:t>HHH</w:t>
      </w:r>
      <w:r>
        <w:rPr>
          <w:rFonts w:ascii="Times New Roman" w:hAnsi="Times New Roman"/>
          <w:sz w:val="20"/>
        </w:rPr>
        <w:t>”); and Medical Solutions (“</w:t>
      </w:r>
      <w:r>
        <w:rPr>
          <w:rFonts w:ascii="Times New Roman" w:hAnsi="Times New Roman"/>
          <w:sz w:val="20"/>
          <w:u w:val="single"/>
        </w:rPr>
        <w:t>MS</w:t>
      </w:r>
      <w:r>
        <w:rPr>
          <w:rFonts w:ascii="Times New Roman" w:hAnsi="Times New Roman"/>
          <w:sz w:val="20"/>
        </w:rPr>
        <w:t xml:space="preserve">”). </w:t>
      </w:r>
    </w:p>
    <w:p>
      <w:pPr>
        <w:pStyle w:val="TextBody"/>
        <w:bidi w:val="0"/>
        <w:spacing w:before="360" w:after="0"/>
        <w:jc w:val="left"/>
        <w:rPr>
          <w:rFonts w:ascii="Times New Roman" w:hAnsi="Times New Roman"/>
          <w:i/>
          <w:sz w:val="20"/>
        </w:rPr>
      </w:pPr>
      <w:r>
        <w:rPr>
          <w:rFonts w:ascii="Times New Roman" w:hAnsi="Times New Roman"/>
          <w:i/>
          <w:sz w:val="20"/>
        </w:rPr>
        <w:t xml:space="preserve">PDS Segment </w:t>
      </w:r>
    </w:p>
    <w:p>
      <w:pPr>
        <w:pStyle w:val="TextBody"/>
        <w:bidi w:val="0"/>
        <w:spacing w:before="120" w:after="0"/>
        <w:jc w:val="left"/>
        <w:rPr>
          <w:rFonts w:ascii="Times New Roman" w:hAnsi="Times New Roman"/>
          <w:sz w:val="20"/>
        </w:rPr>
      </w:pPr>
      <w:r>
        <w:rPr>
          <w:rFonts w:ascii="Times New Roman" w:hAnsi="Times New Roman"/>
          <w:sz w:val="20"/>
        </w:rPr>
        <w:t>Private Duty Services predominantly includes private duty nursing (“</w:t>
      </w:r>
      <w:r>
        <w:rPr>
          <w:rFonts w:ascii="Times New Roman" w:hAnsi="Times New Roman"/>
          <w:sz w:val="20"/>
          <w:u w:val="single"/>
        </w:rPr>
        <w:t>PDN</w:t>
      </w:r>
      <w:r>
        <w:rPr>
          <w:rFonts w:ascii="Times New Roman" w:hAnsi="Times New Roman"/>
          <w:sz w:val="20"/>
        </w:rPr>
        <w:t xml:space="preserve">”) services, as well as pediatric therapy services. Our PDN patients typically enter our service as children, as our most significant referral sources for new patients are children’s hospitals. It is common for our PDN patients to continue to receive our services into adulthood, as approximately 30% of our PDN patients are over the age of 18. </w:t>
      </w:r>
    </w:p>
    <w:p>
      <w:pPr>
        <w:pStyle w:val="TextBody"/>
        <w:bidi w:val="0"/>
        <w:spacing w:before="240" w:after="0"/>
        <w:jc w:val="left"/>
        <w:rPr>
          <w:rFonts w:ascii="Times New Roman" w:hAnsi="Times New Roman"/>
          <w:sz w:val="20"/>
        </w:rPr>
      </w:pPr>
      <w:r>
        <w:rPr>
          <w:rFonts w:ascii="Times New Roman" w:hAnsi="Times New Roman"/>
          <w:sz w:val="20"/>
        </w:rPr>
        <w:t xml:space="preserve">Our PDN services involve the provision of clinical and non-clinical hourly care to patients in their homes, which is the preferred setting for patient care. PDN services typically last four to 24 hours a day, provided by our registered nurses, licensed practical nurses, home health aides, and other non-clinical caregivers who are focused on providing high-quality short-term and long-term clinical care to medically fragile children and adults with a wide variety of serious illnesses and conditions. Patients who typically qualify for our PDN services include those with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Tracheotomies or ventilator dependence;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continuous nutritional feeding through a “G-tube” or “NG-tube”;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intravenous nutrition;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Oxygen-dependence in conjunction with other medical needs;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 medical needs such as frequent seizures.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PDN services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In-home skilled nursing services to medically fragile children and adults;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Nursing services in school settings in which our caregivers accompany patients to school;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Services to patients in our Pediatric Day Healthcare Centers;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Non-clinical care, including programs such as employer of record support services and personal care services.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Through our pediatric therapy services, we provide a valuable multidisciplinary approach that we believe serves all of a child’s therapy needs. We provide both in-clinic and home-based therapy services to our patients. Our therapy services include physical, occupational and speech services. We regularly collaborate with physicians and other community healthcare providers, which allows us to provide more comprehensive care. </w:t>
      </w:r>
    </w:p>
    <w:p>
      <w:pPr>
        <w:pStyle w:val="TextBody"/>
        <w:bidi w:val="0"/>
        <w:spacing w:before="360" w:after="0"/>
        <w:jc w:val="left"/>
        <w:rPr>
          <w:rFonts w:ascii="Times New Roman" w:hAnsi="Times New Roman"/>
          <w:i/>
          <w:sz w:val="20"/>
        </w:rPr>
      </w:pPr>
      <w:r>
        <w:rPr>
          <w:rFonts w:ascii="Times New Roman" w:hAnsi="Times New Roman"/>
          <w:i/>
          <w:sz w:val="20"/>
        </w:rPr>
        <w:t xml:space="preserve">HHH Segment </w:t>
      </w:r>
    </w:p>
    <w:p>
      <w:pPr>
        <w:pStyle w:val="TextBody"/>
        <w:bidi w:val="0"/>
        <w:spacing w:before="120" w:after="0"/>
        <w:jc w:val="left"/>
        <w:rPr>
          <w:rFonts w:ascii="Times New Roman" w:hAnsi="Times New Roman"/>
          <w:sz w:val="20"/>
        </w:rPr>
      </w:pPr>
      <w:r>
        <w:rPr>
          <w:rFonts w:ascii="Times New Roman" w:hAnsi="Times New Roman"/>
          <w:sz w:val="20"/>
        </w:rPr>
        <w:t xml:space="preserve">Our Home Health and Hospice segment predominantly includes home health services, as well as hospice and specialty program services. Our </w:t>
      </w:r>
    </w:p>
    <w:p>
      <w:pPr>
        <w:pStyle w:val="TextBody"/>
        <w:bidi w:val="0"/>
        <w:spacing w:before="240" w:after="0"/>
        <w:jc w:val="left"/>
        <w:rPr>
          <w:rFonts w:ascii="Times New Roman" w:hAnsi="Times New Roman"/>
          <w:sz w:val="20"/>
        </w:rPr>
      </w:pPr>
      <w:r>
        <w:rPr>
          <w:rFonts w:ascii="Times New Roman" w:hAnsi="Times New Roman"/>
          <w:sz w:val="20"/>
        </w:rPr>
        <w:t xml:space="preserve">HHH patients typically enter our service as seniors, and our most significant referral sources for new patients are hospitals, physicians and long-term care facilities. </w:t>
      </w:r>
    </w:p>
    <w:p>
      <w:pPr>
        <w:pStyle w:val="TextBody"/>
        <w:bidi w:val="0"/>
        <w:spacing w:before="240" w:after="0"/>
        <w:jc w:val="left"/>
        <w:rPr>
          <w:rFonts w:ascii="Times New Roman" w:hAnsi="Times New Roman"/>
          <w:sz w:val="20"/>
        </w:rPr>
      </w:pPr>
      <w:r>
        <w:rPr>
          <w:rFonts w:ascii="Times New Roman" w:hAnsi="Times New Roman"/>
          <w:sz w:val="20"/>
        </w:rPr>
        <w:t xml:space="preserve">Our home health services involve the provision of in-home services to our patients by our clinicians which may include nurses, therapists, social workers and home health aides. Our caregivers work with our patients’ physicians to deliver a personalized plan of care to our patients in their homes. Home healthcare can help our patients recover after a hospitalization or surgery and assist patients in managing chronic illnesses. We also help our patients manage their medications. Through our care, we help our patients recover more fully in the comfort of their own homes, while remaining as independent as possible. Our home health services include: in-home skilled nursing services; physical, occupational and speech therapy; medical social services and aide services. </w:t>
      </w:r>
    </w:p>
    <w:p>
      <w:pPr>
        <w:pStyle w:val="TextBody"/>
        <w:bidi w:val="0"/>
        <w:spacing w:before="240" w:after="0"/>
        <w:jc w:val="left"/>
        <w:rPr>
          <w:rFonts w:ascii="Times New Roman" w:hAnsi="Times New Roman"/>
          <w:sz w:val="20"/>
        </w:rPr>
      </w:pPr>
      <w:r>
        <w:rPr>
          <w:rFonts w:ascii="Times New Roman" w:hAnsi="Times New Roman"/>
          <w:sz w:val="20"/>
        </w:rPr>
        <w:t xml:space="preserve">Our hospice services involve a supportive philosophy and concept of care for those nearing the end of life. Our hospice care is a positive, empowering form of care designed to provide comfort and support to our patients and their families when a life-limiting illness no longer responds to cure-oriented treatments. The goal of hospice is to neither prolong life nor hasten death, but to help our patients live as dignified and pain-free as possible. Our hospice care is provided by a team of specially trained professionals in a variety of living situations, including at home, at the hospital, a nursing home, or an assisted living facility. </w:t>
      </w:r>
    </w:p>
    <w:p>
      <w:pPr>
        <w:pStyle w:val="TextBody"/>
        <w:bidi w:val="0"/>
        <w:spacing w:before="360" w:after="0"/>
        <w:jc w:val="left"/>
        <w:rPr>
          <w:rFonts w:ascii="Times New Roman" w:hAnsi="Times New Roman"/>
          <w:i/>
          <w:sz w:val="20"/>
        </w:rPr>
      </w:pPr>
      <w:r>
        <w:rPr>
          <w:rFonts w:ascii="Times New Roman" w:hAnsi="Times New Roman"/>
          <w:i/>
          <w:sz w:val="20"/>
        </w:rPr>
        <w:t xml:space="preserve">MS Segment </w:t>
      </w:r>
    </w:p>
    <w:p>
      <w:pPr>
        <w:pStyle w:val="TextBody"/>
        <w:bidi w:val="0"/>
        <w:spacing w:before="120" w:after="0"/>
        <w:jc w:val="left"/>
        <w:rPr>
          <w:rFonts w:ascii="Times New Roman" w:hAnsi="Times New Roman"/>
          <w:sz w:val="20"/>
        </w:rPr>
      </w:pPr>
      <w:r>
        <w:rPr>
          <w:rFonts w:ascii="Times New Roman" w:hAnsi="Times New Roman"/>
          <w:sz w:val="20"/>
        </w:rPr>
        <w:t xml:space="preserve">Through our Medical Solutions segment, we offer a comprehensive line of enteral nutrition supplies and other products to adults and children, delivered on a periodic or as-needed basis. We provide our patients with access to one of the largest selections of enteral formulas, supplies and pumps in our industry, with more than 300 nutritional formulas available. Our registered nurses, registered dietitians and customer service technicians support our patients 24 hours per day, 365 days per year, in-hospital, at-home, or remotely to help ensure that our patients have the best nutrition assessments, change order reviews and formula selection expertise. </w:t>
      </w:r>
    </w:p>
    <w:p>
      <w:pPr>
        <w:pStyle w:val="TextBody"/>
        <w:bidi w:val="0"/>
        <w:spacing w:before="360" w:after="0"/>
        <w:jc w:val="left"/>
        <w:rPr>
          <w:rFonts w:ascii="Times New Roman" w:hAnsi="Times New Roman"/>
          <w:i/>
          <w:sz w:val="20"/>
        </w:rPr>
      </w:pPr>
      <w:r>
        <w:rPr>
          <w:rFonts w:ascii="Times New Roman" w:hAnsi="Times New Roman"/>
          <w:i/>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Aveanna is a Delaware corporation and was incorporated on November 30, 2016, originally under the name BCPE Oasis Holdings Inc. Aveanna commenced operations in March 2017 in connection with the transformative merger of Epic Health Services Inc. and Pediatric Services of America, Inc. in March 2017 under the name BCPE Eagle Holdings Inc. On May 26, 2017, we changed our name to Aveanna Healthcare Holdings Inc. and commenced trading on the Nasdaq Stock Market on April 29, 2021. Our principal executive offices are located at 400 Interstate North Parkway, Suite 1600, Atlanta, Georgia and our phone number is (770) 441-1580.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on the Internet is www.aveanna.com. The information contained on, or accessible through, our website is not incorporated into this prospectus and does not form a 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x321536_5"/>
      <w:bookmarkEnd w:id="1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The price or prices to the public of our securities and any net proceeds we expect to receive from the sale of such securities will be described in the applicable prospectus supplement. Unless otherwise specified in the applicable prospectus supplement, any proceeds we receive from the sale of the securities to which the prospectus relates will be used for general corporate purposes. We will have significant discretion in the use of any net proceeds we receive and may invest the net proceeds temporarily until we use them for their stated purpose.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the sale of shares of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tx321536_6"/>
      <w:bookmarkEnd w:id="20"/>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The following summarizes certain material terms and provisions of our common stock and our preferred stock. It does not purport to be complete, however, and is qualified in its entirety by reference to our Second Amended and Restated Certificate of Incorporation (the “</w:t>
      </w:r>
      <w:r>
        <w:rPr>
          <w:rFonts w:ascii="Times New Roman" w:hAnsi="Times New Roman"/>
          <w:sz w:val="20"/>
          <w:u w:val="single"/>
        </w:rPr>
        <w:t>Amended Charter</w:t>
      </w:r>
      <w:r>
        <w:rPr>
          <w:rFonts w:ascii="Times New Roman" w:hAnsi="Times New Roman"/>
          <w:sz w:val="20"/>
        </w:rPr>
        <w:t>”) and our Second Amended and Restated Bylaws (the “</w:t>
      </w:r>
      <w:r>
        <w:rPr>
          <w:rFonts w:ascii="Times New Roman" w:hAnsi="Times New Roman"/>
          <w:sz w:val="20"/>
          <w:u w:val="single"/>
        </w:rPr>
        <w:t>Amended Bylaws</w:t>
      </w:r>
      <w:r>
        <w:rPr>
          <w:rFonts w:ascii="Times New Roman" w:hAnsi="Times New Roman"/>
          <w:sz w:val="20"/>
        </w:rPr>
        <w:t>”), which are incorporated by reference as exhibits to the registration statement of which this prospectus forms a part, and the General Corporation Law of the State of Delaware (the “</w:t>
      </w:r>
      <w:r>
        <w:rPr>
          <w:rFonts w:ascii="Times New Roman" w:hAnsi="Times New Roman"/>
          <w:sz w:val="20"/>
          <w:u w:val="single"/>
        </w:rPr>
        <w:t>DGCL</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Overview - Authorized and Outstanding Shares </w:t>
      </w:r>
    </w:p>
    <w:p>
      <w:pPr>
        <w:pStyle w:val="TextBody"/>
        <w:bidi w:val="0"/>
        <w:spacing w:before="120" w:after="0"/>
        <w:jc w:val="left"/>
        <w:rPr>
          <w:rFonts w:ascii="Times New Roman" w:hAnsi="Times New Roman"/>
          <w:sz w:val="20"/>
        </w:rPr>
      </w:pPr>
      <w:r>
        <w:rPr>
          <w:rFonts w:ascii="Times New Roman" w:hAnsi="Times New Roman"/>
          <w:sz w:val="20"/>
        </w:rPr>
        <w:t xml:space="preserve">As of the date of this prospectus, under our Amended and Restated Certificate of Incorporation, we had the authority to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1,000,000,000 shares of common stock, par value $0.01 per share (“</w:t>
            </w:r>
            <w:r>
              <w:rPr>
                <w:rFonts w:ascii="Times New Roman" w:hAnsi="Times New Roman"/>
                <w:sz w:val="20"/>
                <w:u w:val="single"/>
              </w:rPr>
              <w:t>common stock</w:t>
            </w:r>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 shares of preferred stock, par value $0.01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descriptions set forth certain general terms and provisions of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shares of common stock are entitled to one vote per share in connection with any matter submitted to a vote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law or as otherwise provided in any certificate of designation for any series of preferred stock, the holders of our common stock possess all voting power for the election of our directors and all other matters requiring stockholder action, and no holder of any series of preferred stock shall be entitled to any voting powers in respect thereof. </w:t>
      </w:r>
    </w:p>
    <w:p>
      <w:pPr>
        <w:pStyle w:val="TextBody"/>
        <w:bidi w:val="0"/>
        <w:spacing w:before="240" w:after="0"/>
        <w:jc w:val="left"/>
        <w:rPr>
          <w:rFonts w:ascii="Times New Roman" w:hAnsi="Times New Roman"/>
          <w:b/>
          <w:sz w:val="20"/>
        </w:rPr>
      </w:pPr>
      <w:r>
        <w:rPr>
          <w:rFonts w:ascii="Times New Roman" w:hAnsi="Times New Roman"/>
          <w:b/>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Subject to any preferential dividend rights of holders of any then outstanding shares of our preferred stock and the Amended Charter, the holders of shares of common stock will be entitled to ratably receive such dividends, if any, as may be declared from time to time by our board of directors (the “</w:t>
      </w:r>
      <w:r>
        <w:rPr>
          <w:rFonts w:ascii="Times New Roman" w:hAnsi="Times New Roman"/>
          <w:sz w:val="20"/>
          <w:u w:val="single"/>
        </w:rPr>
        <w:t>Board of Directors</w:t>
      </w:r>
      <w:r>
        <w:rPr>
          <w:rFonts w:ascii="Times New Roman" w:hAnsi="Times New Roman"/>
          <w:sz w:val="20"/>
        </w:rPr>
        <w:t xml:space="preserve">”) in its discretion out of funds legally available therefor. </w:t>
      </w:r>
    </w:p>
    <w:p>
      <w:pPr>
        <w:pStyle w:val="TextBody"/>
        <w:bidi w:val="0"/>
        <w:spacing w:before="240" w:after="0"/>
        <w:jc w:val="left"/>
        <w:rPr>
          <w:rFonts w:ascii="Times New Roman" w:hAnsi="Times New Roman"/>
          <w:b/>
          <w:sz w:val="20"/>
        </w:rPr>
      </w:pPr>
      <w:r>
        <w:rPr>
          <w:rFonts w:ascii="Times New Roman" w:hAnsi="Times New Roman"/>
          <w:b/>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our voluntary or involuntary liquidation, dissolution, distribution of assets or winding-up of the Company, after payments to creditors and subject to any preferential liquidation, dissolution or winding up rights of holders of any then outstanding shares of our preferred stock, the holders of shares of common stock are entitled to share ratably in all of our remaining assets and funds available for distribution to holders of shares of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Other Matters </w:t>
      </w:r>
    </w:p>
    <w:p>
      <w:pPr>
        <w:pStyle w:val="TextBody"/>
        <w:bidi w:val="0"/>
        <w:spacing w:before="120" w:after="0"/>
        <w:jc w:val="left"/>
        <w:rPr>
          <w:rFonts w:ascii="Times New Roman" w:hAnsi="Times New Roman"/>
          <w:sz w:val="20"/>
        </w:rPr>
      </w:pPr>
      <w:r>
        <w:rPr>
          <w:rFonts w:ascii="Times New Roman" w:hAnsi="Times New Roman"/>
          <w:sz w:val="20"/>
        </w:rPr>
        <w:t xml:space="preserve">Holders of shares of the common stock do not have any preemptive, subscription, redemption or conversion rights and there are no sinking fund provisions with respect to our common stock. All of the shares of the common stock currently issued and outstanding are fully-paid and nonassessable. </w:t>
      </w:r>
    </w:p>
    <w:p>
      <w:pPr>
        <w:pStyle w:val="TextBody"/>
        <w:bidi w:val="0"/>
        <w:spacing w:before="240" w:after="0"/>
        <w:jc w:val="left"/>
        <w:rPr>
          <w:rFonts w:ascii="Times New Roman" w:hAnsi="Times New Roman"/>
          <w:b/>
          <w:sz w:val="20"/>
        </w:rPr>
      </w:pPr>
      <w:r>
        <w:rPr>
          <w:rFonts w:ascii="Times New Roman" w:hAnsi="Times New Roman"/>
          <w:b/>
          <w:sz w:val="20"/>
        </w:rPr>
        <w:t xml:space="preserve">No Cumulative Voting </w:t>
      </w:r>
    </w:p>
    <w:p>
      <w:pPr>
        <w:pStyle w:val="TextBody"/>
        <w:bidi w:val="0"/>
        <w:spacing w:before="120" w:after="0"/>
        <w:jc w:val="left"/>
        <w:rPr>
          <w:rFonts w:ascii="Times New Roman" w:hAnsi="Times New Roman"/>
          <w:sz w:val="20"/>
        </w:rPr>
      </w:pPr>
      <w:r>
        <w:rPr>
          <w:rFonts w:ascii="Times New Roman" w:hAnsi="Times New Roman"/>
          <w:sz w:val="20"/>
        </w:rPr>
        <w:t xml:space="preserve">Section 214 of the DGCL provides that the certificate of incorporation of any corporation may provide stockholders with the right to cumulate votes in the election of directors. The Amended Charter does not provide for cumulative voting of shares of the common stock. Because of this, the holders of a majority of the shares of common stock entitled to vote in any election of directors can elect all of the directors standing for election, if they should so choose.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Equiniti Trust Company, LLC. The transfer agent’s address is 55 Challenger Road, Floor 2, Ridgefield Park, NJ 07660.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“AVAH.” </w:t>
      </w:r>
    </w:p>
    <w:p>
      <w:pPr>
        <w:pStyle w:val="TextBody"/>
        <w:bidi w:val="0"/>
        <w:spacing w:before="360" w:after="0"/>
        <w:jc w:val="left"/>
        <w:rPr>
          <w:rFonts w:ascii="Times New Roman" w:hAnsi="Times New Roman"/>
          <w:b/>
          <w:sz w:val="20"/>
        </w:rPr>
      </w:pPr>
      <w:r>
        <w:rPr>
          <w:rFonts w:ascii="Times New Roman" w:hAnsi="Times New Roman"/>
          <w:b/>
          <w:sz w:val="20"/>
        </w:rPr>
        <w:t xml:space="preserve">Amended Charter, Amended Bylaws and DGCL </w:t>
      </w:r>
    </w:p>
    <w:p>
      <w:pPr>
        <w:pStyle w:val="TextBody"/>
        <w:bidi w:val="0"/>
        <w:spacing w:before="120" w:after="0"/>
        <w:jc w:val="left"/>
        <w:rPr>
          <w:rFonts w:ascii="Times New Roman" w:hAnsi="Times New Roman"/>
          <w:sz w:val="20"/>
        </w:rPr>
      </w:pPr>
      <w:r>
        <w:rPr>
          <w:rFonts w:ascii="Times New Roman" w:hAnsi="Times New Roman"/>
          <w:sz w:val="20"/>
        </w:rPr>
        <w:t xml:space="preserve">Certain provisions of the Amended Charter, the Amended Bylaws and the DGCL, which are summarized below, could have the effect of making it more difficult to change the composition of the Board of Directors or for any person or entity to acquire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but Unissued Shares </w:t>
      </w:r>
    </w:p>
    <w:p>
      <w:pPr>
        <w:pStyle w:val="TextBody"/>
        <w:bidi w:val="0"/>
        <w:spacing w:before="120" w:after="0"/>
        <w:jc w:val="left"/>
        <w:rPr>
          <w:rFonts w:ascii="Times New Roman" w:hAnsi="Times New Roman"/>
          <w:sz w:val="20"/>
        </w:rPr>
      </w:pPr>
      <w:r>
        <w:rPr>
          <w:rFonts w:ascii="Times New Roman" w:hAnsi="Times New Roman"/>
          <w:sz w:val="20"/>
        </w:rPr>
        <w:t xml:space="preserve">The authorized but unissued shares of our common stock will be available for future issuance without stockholder approval except as required by law or by any stock exchange on which our common stock may be listed. These additional shares may be utilized for a variety of corporate purposes, including future public offerings to raise additional capital, acquisitions and employee benefit plans. In addition, our Board of Directors may authorize, without stockholder approval, the issuance of undesignated preferred stock with voting rights or other rights or preferences designated from time to time by our Board of Directors. The existence of authorized but unissued shares of common stock or preferred stock may enable the Board of Directors to render more difficult or to discourage an attempt to obtain control of us by means of a merger, tender offer, proxy contest or otherwise.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Classification </w:t>
      </w:r>
    </w:p>
    <w:p>
      <w:pPr>
        <w:pStyle w:val="TextBody"/>
        <w:bidi w:val="0"/>
        <w:spacing w:before="120" w:after="0"/>
        <w:jc w:val="left"/>
        <w:rPr>
          <w:rFonts w:ascii="Times New Roman" w:hAnsi="Times New Roman"/>
          <w:sz w:val="20"/>
        </w:rPr>
      </w:pPr>
      <w:r>
        <w:rPr>
          <w:rFonts w:ascii="Times New Roman" w:hAnsi="Times New Roman"/>
          <w:sz w:val="20"/>
        </w:rPr>
        <w:t xml:space="preserve">The Amended Charter provides that the Board of Directors is divided into three classes of directors, with the classes to be as nearly equal in number as possible, and with the directors serving three-year terms. As a result, approximately one-third of the Board of Directors will be elected each year. The classification of directors has the effect of making it more difficult for stockholders to change the composition of the Board of Directors. Our Amended Charter and Amended Bylaws provide that, subject to any rights of holders of preferred stock to elect additional directors under specified circumstances, the number of directors will be fixed from time to time exclusively pursuant to a resolution adopted by the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Meetings of Stockholders; Stockholder Action by Written Consent </w:t>
      </w:r>
    </w:p>
    <w:p>
      <w:pPr>
        <w:pStyle w:val="TextBody"/>
        <w:bidi w:val="0"/>
        <w:spacing w:before="120" w:after="0"/>
        <w:jc w:val="left"/>
        <w:rPr>
          <w:rFonts w:ascii="Times New Roman" w:hAnsi="Times New Roman"/>
          <w:sz w:val="20"/>
        </w:rPr>
      </w:pPr>
      <w:r>
        <w:rPr>
          <w:rFonts w:ascii="Times New Roman" w:hAnsi="Times New Roman"/>
          <w:sz w:val="20"/>
        </w:rPr>
        <w:t>Our Amended Bylaws provide that special meetings of our stockholders may be called, prior to the date on which the Investors (as defined in the Amended Charter) cease to beneficially own at least 50% of the outstanding shares of common stock (such event, the “</w:t>
      </w:r>
      <w:r>
        <w:rPr>
          <w:rFonts w:ascii="Times New Roman" w:hAnsi="Times New Roman"/>
          <w:sz w:val="20"/>
          <w:u w:val="single"/>
        </w:rPr>
        <w:t>Trigger Event</w:t>
      </w:r>
      <w:r>
        <w:rPr>
          <w:rFonts w:ascii="Times New Roman" w:hAnsi="Times New Roman"/>
          <w:sz w:val="20"/>
        </w:rPr>
        <w:t>”), only by or at the direction of the Board of Directors or the Chairman of the Board of Directors (the “</w:t>
      </w:r>
      <w:r>
        <w:rPr>
          <w:rFonts w:ascii="Times New Roman" w:hAnsi="Times New Roman"/>
          <w:sz w:val="20"/>
          <w:u w:val="single"/>
        </w:rPr>
        <w:t>Chairman</w:t>
      </w:r>
      <w:r>
        <w:rPr>
          <w:rFonts w:ascii="Times New Roman" w:hAnsi="Times New Roman"/>
          <w:sz w:val="20"/>
        </w:rPr>
        <w:t xml:space="preserve">”) at the request of holders of not less than a majority of the combined voting power of the common stock, and, from and after the Trigger Event, only by or at the direction of the Board of Directors or the Chairman.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certificate of incorporation provides otherwise. Our Amended Charter precludes stockholder action by written consent from and after the Trigger Event.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could have the effect of delaying until the next stockholder meeting any stockholder actions, even if they are favored by the holders of a majority of the Company’s outstanding voting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Requirements for Stockholder Proposals and Nominations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Bylaws require stockholders seeking to bring business before our annual meeting of stockholders, or to nominate candidates for election as directors at an annual or special meeting of stockholders, to provide timely notice of their intent in writing. To be timely, a stockholder’s notice will need to be received by the Company secretary at our principal executive offices not later than the close of business on the 90th day nor earlier than the close of business on the 120th day prior to the anniversary date of the immediately preceding annual meeting of stockholders. Pursuant to Rule 14a-8 of the Exchange Act, proposals seeking inclusion in our annual proxy statement must comply with the notice periods contained therein. Our Amended Bylaws also specify certain requirements as to the form and content of such stockholder’s notice. These provisions may preclude our stockholders from bringing matters before our annual meeting of stockholders or from making nominations for directors at an annual or special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Removal of Directors; Vacancies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unless otherwise provided in our Amended Charter, directors serving on a classified board may be removed by the stockholders only for cause. Our Amended Charter provides that from and after the Trigger Event, directors may only be removed for cause, and only by the affirmative vote of holders of at least 66 2/3% in voting power of all the then-outstanding shares of common stock entitled to vote thereon. In addition, our Amended Charter provides that from and after the Trigger Event, any newly created directorship on our Board of Directors that results from an increase in the number of directors and any vacancy occurring in our Board of Directors may only be filled by a majority of the directors then in office, although less than a quorum, or by a sole remaining director (and not by the stockholders). The limitations on the removal of directors and filling of vacancies could make it more difficult for a third party to acquire, or discourage a third party from seeking to acquire,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Supermajority Provisions </w:t>
      </w:r>
    </w:p>
    <w:p>
      <w:pPr>
        <w:pStyle w:val="TextBody"/>
        <w:bidi w:val="0"/>
        <w:spacing w:before="120" w:after="0"/>
        <w:jc w:val="left"/>
        <w:rPr>
          <w:rFonts w:ascii="Times New Roman" w:hAnsi="Times New Roman"/>
          <w:sz w:val="20"/>
        </w:rPr>
      </w:pPr>
      <w:r>
        <w:rPr>
          <w:rFonts w:ascii="Times New Roman" w:hAnsi="Times New Roman"/>
          <w:sz w:val="20"/>
        </w:rPr>
        <w:t xml:space="preserve">Our Amended Charter and Amended Bylaws provide that our Board of Directors is expressly authorized to alter, amend, rescind or repeal, in whole or in part, our Amended Bylaws without a stockholder vote in any matter not inconsistent with Delaware law and our Amended Charter. From and after the Trigger Event, in addition to any vote of the holders of any class or series of capital stock of the Company required by our Amended Charter, the Amended Bylaws or applicable law, any amendment, alteration, rescission or repeal of our Amended Bylaws by our stockholders will require the affirmative vote of the holders of at least 66 2/3% in voting power of all the then-outstanding shares of common stock entitled to vote thereon. </w:t>
      </w:r>
    </w:p>
    <w:p>
      <w:pPr>
        <w:pStyle w:val="TextBody"/>
        <w:bidi w:val="0"/>
        <w:spacing w:before="240" w:after="0"/>
        <w:jc w:val="left"/>
        <w:rPr>
          <w:rFonts w:ascii="Times New Roman" w:hAnsi="Times New Roman"/>
          <w:sz w:val="20"/>
        </w:rPr>
      </w:pPr>
      <w:r>
        <w:rPr>
          <w:rFonts w:ascii="Times New Roman" w:hAnsi="Times New Roman"/>
          <w:sz w:val="20"/>
        </w:rPr>
        <w:t xml:space="preserve">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Charter provides that, from and after the Trigger Date, the following provisions in our Amended Charter may be amended, altered, repealed or rescinded only by the affirmative vote of the holders of at least 66 2/3% in voting power of all the then-outstanding shares of common stock entitled to vote thereon, voting together as a single class: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requiring a 66 2/3% supermajority vote for stockholders to amend our Amended Bylaws;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providing for a classified board of directors (the election and term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removal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stockholder action by written consent;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calling special meetings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filling vacancies on our Board of Directors and newly created directorships;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competition and corporate opportunities;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regarding Section 203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eliminating monetary damages for breaches of fiduciary duty by a director and governing forum selection;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amendment provision requiring that the above provisions be amended only with a 66 2/3% supermajority vote.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Selection </w:t>
      </w:r>
    </w:p>
    <w:p>
      <w:pPr>
        <w:pStyle w:val="TextBody"/>
        <w:bidi w:val="0"/>
        <w:spacing w:before="120" w:after="0"/>
        <w:jc w:val="left"/>
        <w:rPr>
          <w:rFonts w:ascii="Times New Roman" w:hAnsi="Times New Roman"/>
          <w:sz w:val="20"/>
        </w:rPr>
      </w:pPr>
      <w:r>
        <w:rPr>
          <w:rFonts w:ascii="Times New Roman" w:hAnsi="Times New Roman"/>
          <w:sz w:val="20"/>
        </w:rPr>
        <w:t>Our Amended Charter provides that unless we consent in writing to the selection of an alternative forum, the Court of Chancery of the State of Delaware (or, if that court lacks subject matter jurisdiction, another federal or state court situated in the State of Delaware) shall be the sole and exclusive forum, to the fullest extent permitted by law, for any stockholder (including a beneficial owner) for (i) any derivative action or proceeding brought on behalf of the Company, (ii) any action asserting a claim of breach of a fiduciary duty owed by any current or former director, officer or other employee or stockholder of the Company to the Company or the Company’s stockholders, creditors or other constituents, or of a claim of aiding and abetting any such breach of fiduciary duty, (iii) any action asserting a claim against the Company, its directors or officers arising pursuant to any provision of the DGCL or our Amended Charter or our Amended Bylaws, (iv) any action asserting a claim against the Company, its directors or officers governed by the internal affairs doctrine or (v) any action asserting an “internal corporate claim” as that term is defined in Section 115 of the DGCL. Notwithstanding the foregoing, our Amended Charter provides that the preceding exclusive forum provision will not apply to any actions arising under the Securities Act of 1933, as amended (the “</w:t>
      </w:r>
      <w:r>
        <w:rPr>
          <w:rFonts w:ascii="Times New Roman" w:hAnsi="Times New Roman"/>
          <w:sz w:val="20"/>
          <w:u w:val="single"/>
        </w:rPr>
        <w:t>Securities Act</w:t>
      </w:r>
      <w:r>
        <w:rPr>
          <w:rFonts w:ascii="Times New Roman" w:hAnsi="Times New Roman"/>
          <w:sz w:val="20"/>
        </w:rPr>
        <w:t xml:space="preserve">”), or the Exchange Act. Our Amended Charter also requires that unless we consent in writing to the selection of an alternative forum, the federal district court for the District of Delaware shall, to the fullest extent permitted by law, be the exclusive forum for the resolution of any complaint asserting a cause of action arising under the Securities Act. Additionally, any person or entity purchasing or otherwise acquiring any interest in shares of capital stock of the Company shall be deemed to have notice of and consented to the forum provision. </w:t>
      </w:r>
    </w:p>
    <w:p>
      <w:pPr>
        <w:pStyle w:val="TextBody"/>
        <w:bidi w:val="0"/>
        <w:spacing w:before="240" w:after="0"/>
        <w:jc w:val="left"/>
        <w:rPr>
          <w:rFonts w:ascii="Times New Roman" w:hAnsi="Times New Roman"/>
          <w:sz w:val="20"/>
        </w:rPr>
      </w:pPr>
      <w:r>
        <w:rPr>
          <w:rFonts w:ascii="Times New Roman" w:hAnsi="Times New Roman"/>
          <w:sz w:val="20"/>
        </w:rPr>
        <w:t xml:space="preserve">The exclusive forum selection provisions may have the effect of discouraging lawsuits against our directors and officers, although our stockholders will not be deemed to have waived our compliance with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Delaware Anti-Takeover Law </w:t>
      </w:r>
    </w:p>
    <w:p>
      <w:pPr>
        <w:pStyle w:val="TextBody"/>
        <w:bidi w:val="0"/>
        <w:spacing w:before="120" w:after="0"/>
        <w:jc w:val="left"/>
        <w:rPr>
          <w:rFonts w:ascii="Times New Roman" w:hAnsi="Times New Roman"/>
          <w:sz w:val="20"/>
        </w:rPr>
      </w:pPr>
      <w:r>
        <w:rPr>
          <w:rFonts w:ascii="Times New Roman" w:hAnsi="Times New Roman"/>
          <w:sz w:val="20"/>
        </w:rPr>
        <w:t xml:space="preserve">Under Section 203 of the DGCL, certain “business combinations” between a Delaware corporation whose stock is listed on a national securities exchange or held of record by more than 2,000 stockholders and an “interested stockholder” are prohibited for a three-year period following the date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corporation has elected in its certificate of incorporation not to be governed by Section 203;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or the transaction which resulted in the stockholder becoming an interested stockholder was approved by the board of directors of the corporation before the date of the business combination or the date such stockholder became an interested stockholder,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made such stockholder an interested stockholder, the interested stockholder owned at least 85% of the “voting stock” (as defined in Section 203) of the corporation outstanding at the commencement of the transaction excluding voting stock owned by directors who are also officers or held in employee benefit plans in which the employees do not have a confidential right to tender stock held by the plan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business combination is approved by the board of directors and by the stockholders (acting at a meeting and not by written consent) by the affirmative vote of at least 66-2/3% of the outstanding voting stock which is not “owned” (as defined in Section 203)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three-year prohibition also does not apply to some business combinations proposed by an interested stockholder following the announcement or notification of an extraordinary transaction involving the corporation and a person who had not been an interested stockholder during the previous three years or who became an interested stockholder with the approval of a majority of the corporation’s directors. The term “business combination” is defined generally to include mergers or consolidations between a Delaware corporation and an interested stockholder, transactions with an interested stockholder involving the assets or stock of the corporation or its majority-owned subsidiaries and transactions which increase an interested stockholder’s percentage ownership of stock, or other transaction resulting in a financial benefit to the interested stockholder. The term “interested stockholder” is defined generally as those stockholders who become beneficial owners of 15% or more of a Delaware corporation’s voting stock, together with the affiliates or associates of that stockholder. </w:t>
      </w:r>
    </w:p>
    <w:p>
      <w:pPr>
        <w:pStyle w:val="TextBody"/>
        <w:bidi w:val="0"/>
        <w:spacing w:before="240" w:after="0"/>
        <w:jc w:val="left"/>
        <w:rPr>
          <w:rFonts w:ascii="Times New Roman" w:hAnsi="Times New Roman"/>
          <w:sz w:val="20"/>
        </w:rPr>
      </w:pPr>
      <w:r>
        <w:rPr>
          <w:rFonts w:ascii="Times New Roman" w:hAnsi="Times New Roman"/>
          <w:sz w:val="20"/>
        </w:rPr>
        <w:t xml:space="preserve">We have opted out of Section 203 of the DGCL; however, our Amended Charter contains similar provisions providing that we may not engage in certain “business combinations” with any “interested stockholder” for a three-year period following the time that the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of Directors and by the affirmative vote of holders of at least 66 2/3% of our outstanding voting stock that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which results in the stockholder becoming an interested stockholder. Our Amended Charter provides that the Investors and their respective affiliates, and any of their respective direct or indirect transferees and any group as to which such persons are a party, do not constitute “interested stockholders” for purposes of this provision. These provisions also may have the effect of preventing changes in our Board of Directors and may make it more difficult to accomplish transactions which stockholders may otherwise deem to be in their best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our direct general obligations. The debt securities will be either senior debt securities or subordinated debt securities and may be secured or unsecured and may be convertible into other securities, including shares of common stock. The debt securities will be issued under one or more separate indentures between our company and a financial institution that will act as trustee. Senior debt securities will be issued under a senior indenture. Subordinated debt securities will be issued under a subordinated indenture. Each of the senior indenture and the subordinated indenture is referred to individually as an indenture and collectively as the indentures. Each of the senior debt trustee and the subordinated debt trustee is referred to individually as a trustee and collectively as the trustees. The material terms of any indenture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summarized certain terms and provisions of the indentures. The summary is not complete. The indentures will be subject to and will be qualified under the Trust Indenture Act of 1939, as amended. The senior indenture and subordinated indenture will be substantially identical, except for the provisions relating to subordination. </w:t>
      </w:r>
    </w:p>
    <w:p>
      <w:pPr>
        <w:pStyle w:val="TextBody"/>
        <w:bidi w:val="0"/>
        <w:spacing w:before="240" w:after="0"/>
        <w:jc w:val="left"/>
        <w:rPr>
          <w:rFonts w:ascii="Times New Roman" w:hAnsi="Times New Roman"/>
          <w:sz w:val="20"/>
        </w:rPr>
      </w:pPr>
      <w:r>
        <w:rPr>
          <w:rFonts w:ascii="Times New Roman" w:hAnsi="Times New Roman"/>
          <w:sz w:val="20"/>
        </w:rPr>
        <w:t xml:space="preserve">Neither indenture will limit the amount of debt securities that we may issue. We may issue debt securities up to an aggregate principal amount as we may authorize from time to time. The applicable prospectus supplement will describe the terms of any debt securities being offered.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classification as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of the specific series of debt securities relative to other outstanding indebtedness, including subsidiaries’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the aggregate amount of outstanding indebtedness, as of a recent date, that is senior to the subordinated securities, and any limitation on the issuance of additional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of the debt securities may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fixed or variable) per annum at which the debt securities shall bear interest,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such interest shall accrue, on which such interest shall be payable, and on which a record shall be taken for the determination of holders of the debt securities to whom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the principal and interest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redeem the debt securities, in whole or in part, at our option and the period or periods within which, the price or prices at which and any terms and conditions upon which such debt securities may be so redeemed, pursuant to any sinking fund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purchase or repay any debt securities pursuant to any mandatory redemption, sinking fund or other provisions or at the option of a holder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$2,000 and any higher integral multiple of $1,000, the denominations in which the debt securities will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currency of the United States, the currency or currencies, in which payment of the principal and interest shall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global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provisions, if any, for the defeasance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any material U.S. federal income tax consequences;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specific terms, rights or limitations of, or restrictions on the debt securities, including any deletions from, modifications of or additions to the events of default or covenants described below or in the applicable indenture.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Senior Debt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under the senior indenture the debt securities that will constitute part of our senior debt. These senior debt securities will rank equally and pari passu with all our other unsecured and unsubordinated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Debt </w:t>
      </w:r>
    </w:p>
    <w:p>
      <w:pPr>
        <w:pStyle w:val="TextBody"/>
        <w:bidi w:val="0"/>
        <w:spacing w:before="120" w:after="0"/>
        <w:jc w:val="left"/>
        <w:rPr>
          <w:rFonts w:ascii="Times New Roman" w:hAnsi="Times New Roman"/>
          <w:sz w:val="20"/>
        </w:rPr>
      </w:pPr>
      <w:r>
        <w:rPr>
          <w:rFonts w:ascii="Times New Roman" w:hAnsi="Times New Roman"/>
          <w:sz w:val="20"/>
        </w:rPr>
        <w:t xml:space="preserve">We may issue under the subordinated indenture the debt securities that will constitute part of our subordinated debt. These subordinated debt securities will be subordinate and junior in right of payment, to the extent and in the manner set forth in the subordinated indenture, to all our “senior indebtedness.” “Senior indebtedness” will be defined in the subordinated indenture and will generally include obligations of, or guaranteed by, us for borrowed money, or as evidenced by bonds, debentures, notes or other similar instruments, or in respect of letters of credit or other similar instruments, or to pay the deferred purchase price of property or services, or as a lessee under capital leases, or as secured by a lien on any asset of ours. “Senior indebtedness” does not include the subordinated debt securities or any other obligations specifically designated as being subordinate in right of payment to, or pari passu with, the subordinated debt securities. In general, the holders of all senior indebtedness will be first entitled to receive payment in full of such senior indebtedness before the holders of any of the subordinated debt securities will be entitled to receive a payment on account of the principal or interest on the indebtedness evidenced by the subordinated debt securities in certain events. These events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insolvency or bankruptcy proceedings, or any receivership, dissolution, winding up, total or partial liquidation, reorganization or other similar proceedings in respect of us or a substantial part of our property, whether voluntary or involuntary;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a default having occurred with respect to the payment of principal or interest on or other monetary amounts due and payable with respect to any senior indebtedness or (ii) an event of default (other than a default described in clause (i) above) having occurred with respect to any senior indebtedness that permits the holder or holders of such senior indebtedness to accelerate the maturity of such senior indebtedness. Such a default or event of default must have continued beyond the period of grace, if any, provided in respect of such default or event of default, and such a default or event of default shall not have been cured or waived or shall not have ceased to exist;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accrued interest on, any series of the subordinated debt securities having been declared due and payable upon an event of default pursuant to the subordinated indenture. This declaration must not have been rescinded and annulled as provided in the subordinated indenture.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Authentication and Delivery </w:t>
      </w:r>
    </w:p>
    <w:p>
      <w:pPr>
        <w:pStyle w:val="TextBody"/>
        <w:bidi w:val="0"/>
        <w:spacing w:before="120" w:after="0"/>
        <w:jc w:val="left"/>
        <w:rPr>
          <w:rFonts w:ascii="Times New Roman" w:hAnsi="Times New Roman"/>
          <w:sz w:val="20"/>
        </w:rPr>
      </w:pPr>
      <w:r>
        <w:rPr>
          <w:rFonts w:ascii="Times New Roman" w:hAnsi="Times New Roman"/>
          <w:sz w:val="20"/>
        </w:rPr>
        <w:t xml:space="preserve">We will deliver the debt securities to the trustee for authentication, and the trustee will authenticate and deliver the debt securities upon our written order. </w:t>
      </w:r>
    </w:p>
    <w:p>
      <w:pPr>
        <w:pStyle w:val="TextBody"/>
        <w:bidi w:val="0"/>
        <w:spacing w:before="240" w:after="0"/>
        <w:jc w:val="left"/>
        <w:rPr>
          <w:rFonts w:ascii="Times New Roman" w:hAnsi="Times New Roman"/>
          <w:b/>
          <w:sz w:val="20"/>
        </w:rPr>
      </w:pPr>
      <w:r>
        <w:rPr>
          <w:rFonts w:ascii="Times New Roman" w:hAnsi="Times New Roman"/>
          <w:b/>
          <w:sz w:val="20"/>
        </w:rPr>
        <w:t xml:space="preserve">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When we use the term “Event of Default” in the indentures with respect to the debt securities of any series, set forth below are some examples of what we mean: </w:t>
      </w:r>
    </w:p>
    <w:p>
      <w:pPr>
        <w:pStyle w:val="TextBody"/>
        <w:bidi w:val="0"/>
        <w:spacing w:before="240" w:after="0"/>
        <w:jc w:val="left"/>
        <w:rPr>
          <w:rFonts w:ascii="Times New Roman" w:hAnsi="Times New Roman"/>
          <w:sz w:val="20"/>
        </w:rPr>
      </w:pPr>
      <w:r>
        <w:rPr>
          <w:rFonts w:ascii="Times New Roman" w:hAnsi="Times New Roman"/>
          <w:sz w:val="20"/>
        </w:rPr>
        <w:t xml:space="preserve">(1) default in the payment of the principal on the debt securities when it becomes due and payable at maturity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(2) default in the payment of interest on the debt securities when it becomes due and payable, and such default continues for a period of 30 days; </w:t>
      </w:r>
    </w:p>
    <w:p>
      <w:pPr>
        <w:pStyle w:val="TextBody"/>
        <w:bidi w:val="0"/>
        <w:spacing w:before="120" w:after="0"/>
        <w:jc w:val="left"/>
        <w:rPr>
          <w:rFonts w:ascii="Times New Roman" w:hAnsi="Times New Roman"/>
          <w:sz w:val="20"/>
        </w:rPr>
      </w:pPr>
      <w:r>
        <w:rPr>
          <w:rFonts w:ascii="Times New Roman" w:hAnsi="Times New Roman"/>
          <w:sz w:val="20"/>
        </w:rPr>
        <w:t xml:space="preserve">(3) default in the performance, or breach, of any covenant in the indenture (other than defaults specified in clauses (1) or (2) above) and the default or breach continues for a period of 90 consecutive days or more after written notice to us by the trustee or to us and the trustee by the holders of 25% or more in aggregate principal amount of the outstanding debt securities of all series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(4) the occurrence of certain events of bankruptcy, insolvency, or similar proceedings with respect to us or any substantial part of our property; or </w:t>
      </w:r>
    </w:p>
    <w:p>
      <w:pPr>
        <w:pStyle w:val="TextBody"/>
        <w:bidi w:val="0"/>
        <w:spacing w:before="120" w:after="0"/>
        <w:jc w:val="left"/>
        <w:rPr>
          <w:rFonts w:ascii="Times New Roman" w:hAnsi="Times New Roman"/>
          <w:sz w:val="20"/>
        </w:rPr>
      </w:pPr>
      <w:r>
        <w:rPr>
          <w:rFonts w:ascii="Times New Roman" w:hAnsi="Times New Roman"/>
          <w:sz w:val="20"/>
        </w:rPr>
        <w:t xml:space="preserve">(5) any other Events of Default that may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(4) above) with respect to the debt securities of any series then outstanding occurs and is continuing, then either the trustee or the holders of not less than 25% in principal amount of the securities of all such series then outstanding in respect of which an Event of Default has occurred may by notice in writing to us declare the entire principal amount of all debt securities of the affected series, and accrued interest, if any, to be due and payable immediately, and upon any such declaration the same shall become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described in clause (4) above occurs and is continuing, then the principal amount of all the debt securities then outstanding and accrued interest shall be and become due immediately and payable without any declaration, notice or other action by any holder of the debt securities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within 90 days after the occurrence of any default actually known to it, give notice of the default to the holders of the debt securities of that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Discharge and Defeasance </w:t>
      </w:r>
    </w:p>
    <w:p>
      <w:pPr>
        <w:pStyle w:val="TextBody"/>
        <w:bidi w:val="0"/>
        <w:spacing w:before="120" w:after="0"/>
        <w:jc w:val="left"/>
        <w:rPr>
          <w:rFonts w:ascii="Times New Roman" w:hAnsi="Times New Roman"/>
          <w:sz w:val="20"/>
        </w:rPr>
      </w:pPr>
      <w:r>
        <w:rPr>
          <w:rFonts w:ascii="Times New Roman" w:hAnsi="Times New Roman"/>
          <w:sz w:val="20"/>
        </w:rPr>
        <w:t xml:space="preserve">Each indenture will provide that we may discharge our obligations under it, except as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registration of transfer and exchange of debt securities, and our right of optional redemption,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substitution of mutilated, defaced, destroyed, lost or stolen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holders of the debt securities to receive payments of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obligations and immunities of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of the holders of the debt securities as beneficiaries with respect to the property deposited with the trustee payable to them (as described below); </w:t>
            </w:r>
          </w:p>
        </w:tc>
      </w:tr>
    </w:tbl>
    <w:p>
      <w:pPr>
        <w:pStyle w:val="TextBody"/>
        <w:bidi w:val="0"/>
        <w:spacing w:before="120" w:after="0"/>
        <w:jc w:val="left"/>
        <w:rPr>
          <w:rFonts w:ascii="Times New Roman" w:hAnsi="Times New Roman"/>
          <w:sz w:val="20"/>
        </w:rPr>
      </w:pPr>
      <w:r>
        <w:rPr>
          <w:rFonts w:ascii="Times New Roman" w:hAnsi="Times New Roman"/>
          <w:sz w:val="20"/>
        </w:rPr>
        <w:t xml:space="preserve">when: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debt securities of any series issued that have been authenticated and delivered have been delivered by us to the trustee for cancellation;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the debt securities of any series issued that have not been delivered by us to the trustee for cancellation have become due and payable or will become due and payable within one year or are to be called for redemption within one year under arrangements satisfactory to the trustee for the giving of notice of redemption by such trustee in our name and at our expense, and we have irrevocably deposited or caused to be deposited with the trustee as trust funds the entire amount sufficient to pay at maturity or upon redemption all debt securities of such series not delivered to the trustee for cancellation, including principal and interest due or to become due on or prior to such date of maturity or redemption;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such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such indenture relating to the satisfaction and discharge of such indenture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In addition, unless the applicable prospectus supplement and supplemental indenture otherwise provide, the indenture will provide that we may elect either (i) to have our obligations under the applicable indenture discharged with respect to the outstanding debt securities of any series (“</w:t>
      </w:r>
      <w:r>
        <w:rPr>
          <w:rFonts w:ascii="Times New Roman" w:hAnsi="Times New Roman"/>
          <w:sz w:val="20"/>
          <w:u w:val="single"/>
        </w:rPr>
        <w:t>legal</w:t>
      </w:r>
      <w:r>
        <w:rPr>
          <w:rFonts w:ascii="Times New Roman" w:hAnsi="Times New Roman"/>
          <w:sz w:val="20"/>
        </w:rPr>
        <w:t xml:space="preserve"> </w:t>
      </w:r>
      <w:r>
        <w:rPr>
          <w:rFonts w:ascii="Times New Roman" w:hAnsi="Times New Roman"/>
          <w:sz w:val="20"/>
          <w:u w:val="single"/>
        </w:rPr>
        <w:t>defeasance</w:t>
      </w:r>
      <w:r>
        <w:rPr>
          <w:rFonts w:ascii="Times New Roman" w:hAnsi="Times New Roman"/>
          <w:sz w:val="20"/>
        </w:rPr>
        <w:t>”) or (ii) to be released from our obligations under the applicable indenture with respect to certain covenants applicable to the outstanding debt securities of any series (“</w:t>
      </w:r>
      <w:r>
        <w:rPr>
          <w:rFonts w:ascii="Times New Roman" w:hAnsi="Times New Roman"/>
          <w:sz w:val="20"/>
          <w:u w:val="single"/>
        </w:rPr>
        <w:t>covenant defeasance</w:t>
      </w:r>
      <w:r>
        <w:rPr>
          <w:rFonts w:ascii="Times New Roman" w:hAnsi="Times New Roman"/>
          <w:sz w:val="20"/>
        </w:rPr>
        <w:t xml:space="preserve">”). Legal defeasance means that we will be deemed to have paid and discharged the entire indebtedness represented by the outstanding debt securities of such series under such indenture and covenant defeasance means that we will no longer be required to comply with the obligations with respect to such covenants (and an omission to comply with such obligations will not constitute a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In order to exercise legal defeasance or covenant defeasance with respect to outstanding debt securities of any series: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in trust for the purpose of making the following payments, specifically pledged as security for, and dedicated solely to the benefits of the holders of the debt securities of a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money in an amount;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government obligations;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money and U.S. government obligations,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sufficient without reinvestment, in the written opinion of a nationally recognized firm of independent public accountants, to pay and discharge, and which shall be applied by the trustee to pay and discharge, all of the principal and interest at due date or maturity or if we have made irrevocable arrangements satisfactory to the trustee for the giving of notice of redemption by the trustee, the redemption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opinion of counsel stating that, under then applicable U.S. federal income tax law, the holders of the debt securities of that series will not recognize gain or loss for U.S. federal income tax purposes as a result of the defeasance and will be subject to the same federal income tax as would be the case if the defeasance did not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default relating to bankruptcy or insolvency and, in the case of a covenant defeasance, no other default has occurred and is continuing at any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at such time the debt securities of such series are listed on a national securities exchange, we have delivered to the trustee an opinion of counsel to the effect that the debt securities of such series will not be delisted as a result of such defeasance;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stating that all conditions precedent with respect to the defeasance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be required to furnish to each trustee an annual statement as to compliance with all conditions and covenants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x321536_7"/>
      <w:bookmarkEnd w:id="21"/>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common stock, debt securities, or other securities. We may issue warrants independently or together with other securities. Warrants sold with other securities may be attached to or separate from the other securities. We will issue warrants under one or more warrant agreements between our company and a warrant agent that we will name in the applicable prospectus supplement. Any such warrant agent will act solely as our agent in connection with the warrants of such series and will not assume any obligation or relationship of agency or trust with any of the holders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relating to any warrants we offer will include specific terms relating to the offering, the terms of the warrants and any applicable warrant agreements. These terms will include some or all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warrants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number and terms of the shares of common stock, debt securities, or other securities purchasable upon exercise of the warrants and procedures by which those numbers may be adjusted;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or periods during which the warrants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terms of any securities with which the warrants are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warrants are issued as a unit with another security, the date on and after which the warrants and the other security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exercise price is not payable in U.S. dollars, the foreign currency, currency unit or composite currency in which the exercise price is denominated;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minimum or maximum amount of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relating to the modification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the material U.S. income tax considerations applicable to the issuance or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and adjustment of share capital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circumstances that will cause the warrants to be deemed to be automatically exercised;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terms, procedures and limitations relating to the transferability, exchange or exercise of the warrants;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x321536_8"/>
      <w:bookmarkEnd w:id="22"/>
      <w:r>
        <w:rPr>
          <w:rFonts w:ascii="Times New Roman" w:hAnsi="Times New Roman"/>
          <w:b/>
          <w:sz w:val="20"/>
        </w:rPr>
        <w:t xml:space="preserve">DESCRIPTION OF RIGHTS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rights to purchase any of our securities or any combination thereof. Rights may be issued independently or together with any other offered security and may or may not be transferable by the person purchasing or receiving the rights. The rights may be issued independently or together with any other security offered hereby and may or may not be transferable by the stockholder receiving the subscription rights in such offering. In connection with any rights offering to our stockholders, we may enter into a standby underwriting arrangement with one or more underwriters pursuant to which such underwriters will purchase any offered securities remaining unsubscribed for after such rights offering. We may also appoint a rights agent that may act solely as our agent in connection with the rights that are sold. Any such agent will not assume any obligation or relationship of agency or trust with any of the holders of the rights. In connection with a rights offering to our stockholders, we will distribute certificates evidencing the rights and a prospectus supplement to our stockholders on the record date that we set for receiving rights in such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rights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if any, for the subscription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for which such rights are exercisable;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rights issued with respect to each share of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rights are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the material U.S. income tax considerations applicable to the issuance or exercise of such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rights shall commence, and the date on which such rights shall expire (subject to any extension);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rights include an over-subscription privilege with respect to unsubscribed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material terms of any standby underwriting or other purchase arrangement, or any agency agreement, that we may enter into in connection with the rights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rights, including terms, procedures and limitations relating to the exchange and exercise of such rights.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x321536_9"/>
      <w:bookmarkEnd w:id="23"/>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shares of common stock, debt securities, warrants, rights or any combination of such securities.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shares of common stock, debt securities, warrants and/ or rights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provisions of the governing unit agreement that differ from those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x321536_10"/>
      <w:bookmarkEnd w:id="24"/>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and warrant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240" w:after="0"/>
        <w:jc w:val="left"/>
        <w:rPr>
          <w:rFonts w:ascii="Times New Roman" w:hAnsi="Times New Roman"/>
          <w:b/>
          <w:sz w:val="20"/>
        </w:rPr>
      </w:pPr>
      <w:r>
        <w:rPr>
          <w:rFonts w:ascii="Times New Roman" w:hAnsi="Times New Roman"/>
          <w:b/>
          <w:sz w:val="20"/>
        </w:rPr>
        <w:t xml:space="preserve">Registered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registered debt securities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or warrant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or warrant agreement. We understand that under existing industry practices, if we request any action of holders or if an owner of a beneficial interest in a registered global security desires to give or take any action that a holder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entitled to give or take under the applicable indenture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represented by a registered global security registered in the name of a depositary or its nominee will be made to the depositary or its nominee, as the case may be, as the registered owner of the registered global security. None of Aveanna, its affiliates, the trustees, the warrant agents or any other agent of us, agent of the trustees or agent of the warrant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x321536_11"/>
      <w:bookmarkEnd w:id="25"/>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including their transferees, pledgees, donees or their respective successors may from time to time offer and sell, pursuant to this prospectus and the applicable prospectus supplement, up to an aggregate of 54,431,349 shares of common stock that were issued and outstanding prior to the original date of filing of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If any selling stockholder offers and sells shares of common stock pursuant to this prospectus, then we will provide you with a prospectus supplement filed pursuant to Securities Act Rule 424(b)(7), as permitted by Rule 430B(b)(2), which will set forth the name of each selling stockholder, the number of shares of common stock beneficially owned by such selling stockholder and the number of the shares of common stock such selling stockholder is offering. The prospectus supplement also will disclose whether any of the selling stockholders have held any position or office with, have been employed by or otherwise have had a material relationship with us during the three years prior to the date of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covered by this prospectus acquired their respective shares of common stock in connection with various transactions prior to, and in advance of, our April 2021 initial public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x321536_12"/>
      <w:bookmarkEnd w:id="26"/>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or the selling stockholders may sell the securities from time to time pursuant to underwritten public offerings, “at-the-market” offerings, negotiated transactions, block trades or a combination of these methods. We or the selling stockholders may sell the securities to or through one or more underwriters or dealers (acting as principal or agent), through agents, or directly to one or more purchasers. We may distribute securities from time to time in one or more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such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the underwriters, dealers or agents,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and number of shares of our common stock being sold by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we will receive from the sale,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or the selling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underwriting discounts and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public offering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or concessions allowed or reallowed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 on which the securities may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sell all or a portion of the shares of common stock described in this prospectus and any accompanying prospectus supplement and there can be no assurance that any selling stockholder will sell any or all of the shares of common stock described in this prospectus or any accompanying prospectus supplement. The selling stockholders may act independently of us in making decisions with respect to the timing, manner and size of each of its sales.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methods described above, the selling stockholders may use any one or more of the following methods when disposing of their respective shares of 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national securities exchange or quotation service on which the common stock may be listed or quoted at the time of sale, including the Nasdaq Global Select Market, on which the common stock is currently listed;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otherwise than on these exchanges or systems or in the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writing of options, whether such options are listed on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will attempt to sell the shares of common stock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the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in which broker-dealers may agree with the selling stockholders to sell a specified number of shares of common stock at a stipulated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one or more underwritten offerings on a firm commitment or best efforts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sale;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to selling its shares of common stock under this prospectus, a selling stockholder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its common stock in other ways not involving market maker or established trading markets, including directly by gift, distribution, or other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its common stock under Rule 144 or Rule 145 of the Securities Act rather than under this prospectus, if the transaction meets the requirements of Rule 144 or Rule 145;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its common stock by any other legally available means.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Only underwriters named in the prospectus supplement will be underwriters of the securities offered by the prospectus supplement.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 Additionally, the selling stockholders may be deemed to be “underwriters” within the meaning of the Securities Act with respect to the shares of common stock they are offering for resale. </w:t>
      </w:r>
    </w:p>
    <w:p>
      <w:pPr>
        <w:pStyle w:val="TextBody"/>
        <w:bidi w:val="0"/>
        <w:spacing w:before="240" w:after="0"/>
        <w:jc w:val="left"/>
        <w:rPr>
          <w:rFonts w:ascii="Times New Roman" w:hAnsi="Times New Roman"/>
          <w:sz w:val="20"/>
        </w:rPr>
      </w:pPr>
      <w:r>
        <w:rPr>
          <w:rFonts w:ascii="Times New Roman" w:hAnsi="Times New Roman"/>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or the selling stockholders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If a dealer is used in the sale of securities, we, the selling stockholders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 Any public offering price and any discounts or concessions allowed or reallowed or paid to dealers may change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We may use underwriters, dealers or agents with whom we or any of the selling stockholders have a material relationship. In the applicable prospectus supplement, we will name the underwriter, dealer or agent and describe the nature of any such relationship. We or any of the selling stockholders may sell securities directly or through agents we designate from time to time. We will name any agent involved in the offering and sale of securities, and we will describe any commissions payable to the agent in the prospectus supplement. Unless the prospectus supplement states otherwise, the agent will act on a best-efforts basis for the period of its appointment.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or a selling stockholder may directly solicit offers to purchase the securities and we or a selling stockholder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 </w:t>
      </w:r>
    </w:p>
    <w:p>
      <w:pPr>
        <w:pStyle w:val="TextBody"/>
        <w:bidi w:val="0"/>
        <w:spacing w:before="240" w:after="0"/>
        <w:jc w:val="left"/>
        <w:rPr>
          <w:rFonts w:ascii="Times New Roman" w:hAnsi="Times New Roman"/>
          <w:sz w:val="20"/>
        </w:rPr>
      </w:pPr>
      <w:r>
        <w:rPr>
          <w:rFonts w:ascii="Times New Roman" w:hAnsi="Times New Roman"/>
          <w:sz w:val="20"/>
        </w:rPr>
        <w:t xml:space="preserve">We or any of the selling stockholders may provide agents, underwriters and dealers with indemnification against civil liabilities, including liabilities under the Securities Act, or contribution with respect to payments that the agents, underwriters or dealers may make with respect to these liabilities. Agents, underwriters and dealers, or their affiliates, may engage in transactions with, or perform services for, us or any of the selling stockholders in the ordinary course of business. If required, the prospectus supplement will describe the terms and conditions of the indemnification or contribution.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the securities laws of some states, the securities offered by this prospectus may be sold in those states only through registered or licensed brokers or dealers. </w:t>
      </w:r>
    </w:p>
    <w:p>
      <w:pPr>
        <w:pStyle w:val="TextBody"/>
        <w:bidi w:val="0"/>
        <w:spacing w:before="240" w:after="0"/>
        <w:jc w:val="left"/>
        <w:rPr>
          <w:rFonts w:ascii="Times New Roman" w:hAnsi="Times New Roman"/>
          <w:sz w:val="20"/>
        </w:rPr>
      </w:pPr>
      <w:r>
        <w:rPr>
          <w:rFonts w:ascii="Times New Roman" w:hAnsi="Times New Roman"/>
          <w:sz w:val="20"/>
        </w:rPr>
        <w:t xml:space="preserve">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 We will describe any such activities in the prospectus supplement relating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 applicable rules and regulations under the Exchange Act, any person engaged in the distribution of the of securities registered under the registration statement, of which this prospectus forms a part, may not, subject to certain exceptions,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x321536_13"/>
      <w:bookmarkEnd w:id="27"/>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with respect to the validity of the securities offered under this prospectus will be passed upon for us by Greenberg Traurig, LLP. </w:t>
      </w:r>
    </w:p>
    <w:p>
      <w:pPr>
        <w:pStyle w:val="TextBody"/>
        <w:bidi w:val="0"/>
        <w:spacing w:before="480" w:after="0"/>
        <w:jc w:val="center"/>
        <w:rPr>
          <w:rFonts w:ascii="Times New Roman" w:hAnsi="Times New Roman"/>
          <w:b/>
          <w:sz w:val="20"/>
        </w:rPr>
      </w:pPr>
      <w:bookmarkStart w:id="28" w:name="tx321536_14"/>
      <w:bookmarkEnd w:id="28"/>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the Company appearing in our Annual Report on Form 10-K for the year ended December 30, 2023, and the effectiveness of our internal control over financial reporting as of December 30, 2023, have been audited by Ernst &amp; Young LLP, independent registered public accounting firm, as set forth in their reports thereon, which conclude, among other things, that we did not maintain effective internal control over financial reporting as of December 30, 2023, based on Internal Control—Integrated Framework issued by the Committee of Sponsoring Organizations of the Treadway Commission (2013 framework), because of the effects of the material weakness described therein, included therein, and incorporated herein by reference. Such financial statements and our management’s assessment of the effectiveness of internal control over financial reporting as of December 30, 2023 (which concludes, among other things, that we did not maintain effective internal control over financial reporting as of December 30, 2023, based on Internal Control—Integrated Framework issued by the Committee of Sponsoring Organizations of the Treadway Commission (2013 framework), because of the effects of the material weakness described therein) are, and audited financial statements and our management’s assessment of internal control over financial reporting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x321536_15"/>
      <w:bookmarkEnd w:id="29"/>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8">
              <w:r>
                <w:rPr>
                  <w:rStyle w:val="InternetLink"/>
                  <w:rFonts w:ascii="Times New Roman" w:hAnsi="Times New Roman"/>
                  <w:sz w:val="20"/>
                </w:rPr>
                <w:t xml:space="preserve">Form 10-K </w:t>
              </w:r>
            </w:hyperlink>
            <w:r>
              <w:rPr>
                <w:rFonts w:ascii="Times New Roman" w:hAnsi="Times New Roman"/>
                <w:sz w:val="20"/>
              </w:rPr>
              <w:t xml:space="preserve">for the fiscal year ended December 30, 2023 filed with the SEC on March 14,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fiscal quarters ended March 30, 2024 and June 29, 2024, filed with the SEC on </w:t>
            </w:r>
            <w:hyperlink r:id="rId19">
              <w:r>
                <w:rPr>
                  <w:rStyle w:val="InternetLink"/>
                  <w:rFonts w:ascii="Times New Roman" w:hAnsi="Times New Roman"/>
                  <w:sz w:val="20"/>
                </w:rPr>
                <w:t>May  9, 2024</w:t>
              </w:r>
            </w:hyperlink>
            <w:r>
              <w:rPr>
                <w:rFonts w:ascii="Times New Roman" w:hAnsi="Times New Roman"/>
                <w:sz w:val="20"/>
              </w:rPr>
              <w:t xml:space="preserve"> and </w:t>
            </w:r>
            <w:hyperlink r:id="rId20">
              <w:r>
                <w:rPr>
                  <w:rStyle w:val="InternetLink"/>
                  <w:rFonts w:ascii="Times New Roman" w:hAnsi="Times New Roman"/>
                  <w:sz w:val="20"/>
                </w:rPr>
                <w:t>August 8, 2024</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21">
              <w:r>
                <w:rPr>
                  <w:rStyle w:val="InternetLink"/>
                  <w:rFonts w:ascii="Times New Roman" w:hAnsi="Times New Roman"/>
                  <w:sz w:val="20"/>
                </w:rPr>
                <w:t>January  17, 2024</w:t>
              </w:r>
            </w:hyperlink>
            <w:r>
              <w:rPr>
                <w:rFonts w:ascii="Times New Roman" w:hAnsi="Times New Roman"/>
                <w:sz w:val="20"/>
              </w:rPr>
              <w:t xml:space="preserve">, </w:t>
            </w:r>
            <w:hyperlink r:id="rId22">
              <w:r>
                <w:rPr>
                  <w:rStyle w:val="InternetLink"/>
                  <w:rFonts w:ascii="Times New Roman" w:hAnsi="Times New Roman"/>
                  <w:sz w:val="20"/>
                </w:rPr>
                <w:t xml:space="preserve">May  17, 2024 </w:t>
              </w:r>
            </w:hyperlink>
            <w:r>
              <w:rPr>
                <w:rFonts w:ascii="Times New Roman" w:hAnsi="Times New Roman"/>
                <w:sz w:val="20"/>
              </w:rPr>
              <w:t xml:space="preserve">and </w:t>
            </w:r>
            <w:hyperlink r:id="rId23">
              <w:r>
                <w:rPr>
                  <w:rStyle w:val="InternetLink"/>
                  <w:rFonts w:ascii="Times New Roman" w:hAnsi="Times New Roman"/>
                  <w:sz w:val="20"/>
                </w:rPr>
                <w:t>June 5,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24">
              <w:r>
                <w:rPr>
                  <w:rStyle w:val="InternetLink"/>
                  <w:rFonts w:ascii="Times New Roman" w:hAnsi="Times New Roman"/>
                  <w:sz w:val="20"/>
                </w:rPr>
                <w:t xml:space="preserve">Definitive Proxy Statement on Schedule 14A </w:t>
              </w:r>
            </w:hyperlink>
            <w:r>
              <w:rPr>
                <w:rFonts w:ascii="Times New Roman" w:hAnsi="Times New Roman"/>
                <w:sz w:val="20"/>
              </w:rPr>
              <w:t xml:space="preserve">filed in connection with our Annual Meeting of Stockholders held on May 16, 2024, filed with the SEC on April 1, 2024 (solely to the extent incorporated by reference into Part III of our Annual Report on Form 10-K for the fiscal year ended December 30, 2023);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Registration Statement on </w:t>
            </w:r>
            <w:hyperlink r:id="rId25">
              <w:r>
                <w:rPr>
                  <w:rStyle w:val="InternetLink"/>
                  <w:rFonts w:ascii="Times New Roman" w:hAnsi="Times New Roman"/>
                  <w:sz w:val="20"/>
                </w:rPr>
                <w:t>Form 8-A</w:t>
              </w:r>
            </w:hyperlink>
            <w:hyperlink r:id="rId26">
              <w:r>
                <w:rPr>
                  <w:rStyle w:val="InternetLink"/>
                  <w:rFonts w:ascii="Times New Roman" w:hAnsi="Times New Roman"/>
                  <w:sz w:val="20"/>
                  <w:u w:val="single"/>
                </w:rPr>
                <w:t xml:space="preserve"> </w:t>
              </w:r>
            </w:hyperlink>
            <w:r>
              <w:rPr>
                <w:rFonts w:ascii="Times New Roman" w:hAnsi="Times New Roman"/>
                <w:sz w:val="20"/>
              </w:rPr>
              <w:t xml:space="preserve">filed with the Commission on April 26, 2021 (File No. 001-40362), in which there is described the terms, rights and provisions applicable to the shares of the Common Stock, including any amendment or report filed for the purpose of updating such description, including the description of the common stock filed as </w:t>
            </w:r>
            <w:hyperlink r:id="rId27">
              <w:r>
                <w:rPr>
                  <w:rStyle w:val="InternetLink"/>
                  <w:rFonts w:ascii="Times New Roman" w:hAnsi="Times New Roman"/>
                  <w:sz w:val="20"/>
                </w:rPr>
                <w:t>Exhibit 4.1</w:t>
              </w:r>
            </w:hyperlink>
            <w:hyperlink r:id="rId28">
              <w:r>
                <w:rPr>
                  <w:rStyle w:val="InternetLink"/>
                  <w:rFonts w:ascii="Times New Roman" w:hAnsi="Times New Roman"/>
                  <w:sz w:val="20"/>
                  <w:u w:val="single"/>
                </w:rPr>
                <w:t xml:space="preserve"> </w:t>
              </w:r>
            </w:hyperlink>
            <w:r>
              <w:rPr>
                <w:rFonts w:ascii="Times New Roman" w:hAnsi="Times New Roman"/>
                <w:sz w:val="20"/>
              </w:rPr>
              <w:t xml:space="preserve">to our Annual Report on Form 10-K filed on March 28,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this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stockholder, to whom a prospectus is delivered, upon written or oral request of that person, a copy of any and all of the information that has been incorporated by reference in this prospectus (excluding exhibits unless specifically incorporated by reference into those documents). Please direct requests to us at the following address: </w:t>
      </w:r>
    </w:p>
    <w:p>
      <w:pPr>
        <w:pStyle w:val="TextBody"/>
        <w:bidi w:val="0"/>
        <w:spacing w:before="240" w:after="0"/>
        <w:jc w:val="center"/>
        <w:rPr>
          <w:rFonts w:ascii="Times New Roman" w:hAnsi="Times New Roman"/>
          <w:sz w:val="20"/>
        </w:rPr>
      </w:pPr>
      <w:r>
        <w:rPr>
          <w:rFonts w:ascii="Times New Roman" w:hAnsi="Times New Roman"/>
          <w:sz w:val="20"/>
        </w:rPr>
        <w:t xml:space="preserve">Aveanna Healthcare Holdings Inc. </w:t>
      </w:r>
    </w:p>
    <w:p>
      <w:pPr>
        <w:pStyle w:val="TextBody"/>
        <w:bidi w:val="0"/>
        <w:spacing w:before="0" w:after="0"/>
        <w:jc w:val="center"/>
        <w:rPr>
          <w:rFonts w:ascii="Times New Roman" w:hAnsi="Times New Roman"/>
          <w:sz w:val="20"/>
        </w:rPr>
      </w:pPr>
      <w:r>
        <w:rPr>
          <w:rFonts w:ascii="Times New Roman" w:hAnsi="Times New Roman"/>
          <w:sz w:val="20"/>
        </w:rPr>
        <w:t xml:space="preserve">400 Interstate North Parkway SE </w:t>
      </w:r>
    </w:p>
    <w:p>
      <w:pPr>
        <w:pStyle w:val="TextBody"/>
        <w:bidi w:val="0"/>
        <w:spacing w:before="0" w:after="0"/>
        <w:jc w:val="center"/>
        <w:rPr>
          <w:rFonts w:ascii="Times New Roman" w:hAnsi="Times New Roman"/>
          <w:sz w:val="20"/>
        </w:rPr>
      </w:pPr>
      <w:r>
        <w:rPr>
          <w:rFonts w:ascii="Times New Roman" w:hAnsi="Times New Roman"/>
          <w:sz w:val="20"/>
        </w:rPr>
        <w:t xml:space="preserve">Suite 1600 </w:t>
      </w:r>
    </w:p>
    <w:p>
      <w:pPr>
        <w:pStyle w:val="TextBody"/>
        <w:bidi w:val="0"/>
        <w:spacing w:before="0" w:after="0"/>
        <w:jc w:val="center"/>
        <w:rPr>
          <w:rFonts w:ascii="Times New Roman" w:hAnsi="Times New Roman"/>
          <w:sz w:val="20"/>
        </w:rPr>
      </w:pPr>
      <w:r>
        <w:rPr>
          <w:rFonts w:ascii="Times New Roman" w:hAnsi="Times New Roman"/>
          <w:sz w:val="20"/>
        </w:rPr>
        <w:t xml:space="preserve">Atlanta, Georgia 30339 </w:t>
      </w:r>
    </w:p>
    <w:p>
      <w:pPr>
        <w:pStyle w:val="TextBody"/>
        <w:bidi w:val="0"/>
        <w:spacing w:before="0" w:after="0"/>
        <w:jc w:val="center"/>
        <w:rPr>
          <w:rFonts w:ascii="Times New Roman" w:hAnsi="Times New Roman"/>
          <w:sz w:val="20"/>
        </w:rPr>
      </w:pPr>
      <w:r>
        <w:rPr>
          <w:rFonts w:ascii="Times New Roman" w:hAnsi="Times New Roman"/>
          <w:sz w:val="20"/>
        </w:rPr>
        <w:t xml:space="preserve">(770) 441-1580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x321536_16"/>
      <w:bookmarkEnd w:id="30"/>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Times New Roman" w:hAnsi="Times New Roman"/>
          <w:sz w:val="20"/>
          <w:u w:val="single"/>
        </w:rPr>
        <w:t>http://www.sec.gov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website address is www.aveanna.com. The information contained on, or accessible through, our website is not incorporated into this prospectus and does not form a 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80" w:after="0"/>
        <w:jc w:val="center"/>
        <w:rPr>
          <w:rFonts w:ascii="Times New Roman" w:hAnsi="Times New Roman"/>
          <w:b/>
          <w:sz w:val="32"/>
        </w:rPr>
      </w:pPr>
      <w:r>
        <w:rPr>
          <w:rFonts w:ascii="Times New Roman" w:hAnsi="Times New Roman"/>
          <w:b/>
          <w:sz w:val="32"/>
        </w:rPr>
        <w:t xml:space="preserve">15,000,000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2505075" cy="1352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9"/>
                    <a:stretch>
                      <a:fillRect/>
                    </a:stretch>
                  </pic:blipFill>
                  <pic:spPr bwMode="auto">
                    <a:xfrm>
                      <a:off x="0" y="0"/>
                      <a:ext cx="2505075" cy="135255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Aveanna Healthcare Holdings Inc. </w:t>
      </w:r>
    </w:p>
    <w:p>
      <w:pPr>
        <w:pStyle w:val="TextBody"/>
        <w:bidi w:val="0"/>
        <w:spacing w:before="480" w:after="0"/>
        <w:jc w:val="center"/>
        <w:rPr>
          <w:rFonts w:ascii="Times New Roman" w:hAnsi="Times New Roman"/>
          <w:b/>
          <w:sz w:val="32"/>
        </w:rPr>
      </w:pPr>
      <w:r>
        <w:rPr>
          <w:rFonts w:ascii="Times New Roman" w:hAnsi="Times New Roman"/>
          <w:b/>
          <w:sz w:val="32"/>
        </w:rPr>
        <w:t xml:space="preserve">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640" w:after="0"/>
        <w:jc w:val="center"/>
        <w:rPr>
          <w:rFonts w:ascii="Times New Roman" w:hAnsi="Times New Roman"/>
          <w:b/>
          <w:sz w:val="32"/>
        </w:rPr>
      </w:pPr>
      <w:r>
        <w:rPr>
          <w:rFonts w:ascii="Times New Roman" w:hAnsi="Times New Roman"/>
          <w:b/>
          <w:sz w:val="32"/>
        </w:rPr>
        <w:t xml:space="preserve">RBC Capital Markets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August 20,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32332/000119312526115851/avah-20260103.htm" TargetMode="External"/><Relationship Id="rId4" Type="http://schemas.openxmlformats.org/officeDocument/2006/relationships/hyperlink" Target="http://www.sec.gov/Archives/edgar/data/../../../ix?doc=/Archives/edgar/data/0001832332/000119312526222736/avah-20260404.htm" TargetMode="External"/><Relationship Id="rId5" Type="http://schemas.openxmlformats.org/officeDocument/2006/relationships/hyperlink" Target="http://www.sec.gov/Archives/edgar/data/../../../ix?doc=/Archives/edgar/data/0001832332/000119312526347842/avah-20260704.htm" TargetMode="External"/><Relationship Id="rId6" Type="http://schemas.openxmlformats.org/officeDocument/2006/relationships/hyperlink" Target="http://www.sec.gov/Archives/edgar/data/../../../ix?doc=/Archives/edgar/data/0001832332/000119312526061523/avah-20260217.htm" TargetMode="External"/><Relationship Id="rId7" Type="http://schemas.openxmlformats.org/officeDocument/2006/relationships/hyperlink" Target="http://www.sec.gov/Archives/edgar/data/../../../ix?doc=/Archives/edgar/data/0001832332/000119312526082823/avah-20260227.htm" TargetMode="External"/><Relationship Id="rId8" Type="http://schemas.openxmlformats.org/officeDocument/2006/relationships/hyperlink" Target="http://www.sec.gov/Archives/edgar/data/../../../ix?doc=/Archives/edgar/data/0001832332/000119312526103067/avah-20260309.htm" TargetMode="External"/><Relationship Id="rId9" Type="http://schemas.openxmlformats.org/officeDocument/2006/relationships/hyperlink" Target="http://www.sec.gov/Archives/edgar/data/../../../ix?doc=/Archives/edgar/data/0001832332/000119312526243028/avah-20260526.htm" TargetMode="External"/><Relationship Id="rId10" Type="http://schemas.openxmlformats.org/officeDocument/2006/relationships/hyperlink" Target="http://www.sec.gov/Archives/edgar/data/../../../ix?doc=/Archives/edgar/data/0001832332/000119312526248323/avah-20260529.htm" TargetMode="External"/><Relationship Id="rId11" Type="http://schemas.openxmlformats.org/officeDocument/2006/relationships/hyperlink" Target="http://www.sec.gov/Archives/edgar/data/../../../ix?doc=/Archives/edgar/data/0001832332/000119312526252511/avah-20260601.htm" TargetMode="External"/><Relationship Id="rId12" Type="http://schemas.openxmlformats.org/officeDocument/2006/relationships/hyperlink" Target="http://www.sec.gov/Archives/edgar/data/../../../ix?doc=/Archives/edgar/data/0001832332/000119312526340409/avah-20260805.htm" TargetMode="External"/><Relationship Id="rId13" Type="http://schemas.openxmlformats.org/officeDocument/2006/relationships/hyperlink" Target="http://www.sec.gov/Archives/edgar/data/../../../ix?doc=/Archives/edgar/data/0001832332/000119312526161632/d798829ddef14a.htm" TargetMode="External"/><Relationship Id="rId14" Type="http://schemas.openxmlformats.org/officeDocument/2006/relationships/hyperlink" Target="http://www.sec.gov/Archives/edgar/data/../../../ix?doc=/Archives/edgar/data/0001832332/000119312526115851/avah-20260103.htm" TargetMode="External"/><Relationship Id="rId15" Type="http://schemas.openxmlformats.org/officeDocument/2006/relationships/hyperlink" Target="http://www.sec.gov/Archives/edgar/data/1832332/000119312521131262/d170155d8a12b.htm" TargetMode="External"/><Relationship Id="rId16" Type="http://schemas.openxmlformats.org/officeDocument/2006/relationships/hyperlink" Target="http://www.sec.gov/Archives/edgar/data/1832332/000095017022004799/avah-ex4_1.htm" TargetMode="External"/><Relationship Id="rId17" Type="http://schemas.openxmlformats.org/officeDocument/2006/relationships/image" Target="media/image2.jpeg"/><Relationship Id="rId18" Type="http://schemas.openxmlformats.org/officeDocument/2006/relationships/hyperlink" Target="http://www.sec.gov/Archives/edgar/data/1832332/000095017024031321/avah-20231230.htm" TargetMode="External"/><Relationship Id="rId19" Type="http://schemas.openxmlformats.org/officeDocument/2006/relationships/hyperlink" Target="http://www.sec.gov/Archives/edgar/data/1832332/000095017024056215/avah-20240330.htm" TargetMode="External"/><Relationship Id="rId20" Type="http://schemas.openxmlformats.org/officeDocument/2006/relationships/hyperlink" Target="http://www.sec.gov/Archives/edgar/data/1832332/000095017024093268/avah-20240629.htm" TargetMode="External"/><Relationship Id="rId21" Type="http://schemas.openxmlformats.org/officeDocument/2006/relationships/hyperlink" Target="http://www.sec.gov/Archives/edgar/data/1832332/000095017024004820/avah-20240115.htm" TargetMode="External"/><Relationship Id="rId22" Type="http://schemas.openxmlformats.org/officeDocument/2006/relationships/hyperlink" Target="http://www.sec.gov/Archives/edgar/data/1832332/000095017024061484/avah-20240516.htm" TargetMode="External"/><Relationship Id="rId23" Type="http://schemas.openxmlformats.org/officeDocument/2006/relationships/hyperlink" Target="http://www.sec.gov/Archives/edgar/data/1832332/000095017024069243/avah-20240531.htm" TargetMode="External"/><Relationship Id="rId24" Type="http://schemas.openxmlformats.org/officeDocument/2006/relationships/hyperlink" Target="http://www.sec.gov/Archives/edgar/data/1832332/000119312524083472/d896155ddefa14a.htm" TargetMode="External"/><Relationship Id="rId25" Type="http://schemas.openxmlformats.org/officeDocument/2006/relationships/hyperlink" Target="http://www.sec.gov/Archives/edgar/data/1832332/000119312521131262/d170155d8a12b.htm" TargetMode="External"/><Relationship Id="rId26" Type="http://schemas.openxmlformats.org/officeDocument/2006/relationships/hyperlink" Target="http://www.sec.gov/Archives/edgar/data/1832332/000119312521131262/d170155d8a12b.htm" TargetMode="External"/><Relationship Id="rId27" Type="http://schemas.openxmlformats.org/officeDocument/2006/relationships/hyperlink" Target="http://www.sec.gov/Archives/edgar/data/1832332/000095017022004799/avah-ex4_1.htm" TargetMode="External"/><Relationship Id="rId28" Type="http://schemas.openxmlformats.org/officeDocument/2006/relationships/hyperlink" Target="http://www.sec.gov/Archives/edgar/data/1832332/000095017022004799/avah-ex4_1.htm" TargetMode="External"/><Relationship Id="rId29" Type="http://schemas.openxmlformats.org/officeDocument/2006/relationships/image" Target="media/image3.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31934</Words>
  <Characters>170236</Characters>
  <CharactersWithSpaces>202863</CharactersWithSpaces>
  <Paragraphs>2250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424B4</dc:title>
</cp:coreProperties>
</file>